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4F61E" w14:textId="77777777" w:rsidR="00C84332" w:rsidRDefault="00C84332" w:rsidP="00914885">
      <w:pPr>
        <w:autoSpaceDE w:val="0"/>
        <w:autoSpaceDN w:val="0"/>
        <w:adjustRightInd w:val="0"/>
        <w:rPr>
          <w:szCs w:val="24"/>
        </w:rPr>
      </w:pPr>
    </w:p>
    <w:p w14:paraId="7FF1678F" w14:textId="77777777" w:rsidR="00D476DB" w:rsidRDefault="00D476DB" w:rsidP="0067454F">
      <w:pPr>
        <w:rPr>
          <w:b/>
        </w:rPr>
      </w:pPr>
    </w:p>
    <w:p w14:paraId="295553F8" w14:textId="77777777" w:rsidR="00EF05E3" w:rsidRDefault="00EF05E3" w:rsidP="0067454F">
      <w:pPr>
        <w:rPr>
          <w:b/>
        </w:rPr>
      </w:pPr>
    </w:p>
    <w:p w14:paraId="6B1ED40E" w14:textId="77777777" w:rsidR="0023205B" w:rsidRPr="00F13B58" w:rsidRDefault="00440F23" w:rsidP="0067454F">
      <w:pPr>
        <w:rPr>
          <w:szCs w:val="24"/>
        </w:rPr>
      </w:pPr>
      <w:r w:rsidRPr="00440F23">
        <w:rPr>
          <w:b/>
        </w:rPr>
        <w:t xml:space="preserve">Transportation Planning </w:t>
      </w:r>
      <w:r w:rsidR="00224255">
        <w:rPr>
          <w:b/>
        </w:rPr>
        <w:t>to Accommodate Needs of</w:t>
      </w:r>
      <w:r w:rsidRPr="00440F23">
        <w:rPr>
          <w:b/>
        </w:rPr>
        <w:t xml:space="preserve"> </w:t>
      </w:r>
      <w:r>
        <w:rPr>
          <w:b/>
        </w:rPr>
        <w:t xml:space="preserve">Wind </w:t>
      </w:r>
      <w:r w:rsidRPr="00440F23">
        <w:rPr>
          <w:b/>
        </w:rPr>
        <w:t>Energy Projects</w:t>
      </w:r>
    </w:p>
    <w:p w14:paraId="18BA07B6" w14:textId="77777777" w:rsidR="00112500" w:rsidRPr="00F13B58" w:rsidRDefault="00112500" w:rsidP="0067454F">
      <w:pPr>
        <w:rPr>
          <w:szCs w:val="24"/>
        </w:rPr>
      </w:pPr>
    </w:p>
    <w:p w14:paraId="33C696E0" w14:textId="77777777" w:rsidR="0023205B" w:rsidRDefault="0023205B" w:rsidP="0067454F">
      <w:pPr>
        <w:rPr>
          <w:szCs w:val="24"/>
        </w:rPr>
      </w:pPr>
    </w:p>
    <w:p w14:paraId="49832610" w14:textId="77777777" w:rsidR="00EF05E3" w:rsidRPr="00F13B58" w:rsidRDefault="00EF05E3" w:rsidP="0067454F">
      <w:pPr>
        <w:rPr>
          <w:szCs w:val="24"/>
        </w:rPr>
      </w:pPr>
      <w:bookmarkStart w:id="0" w:name="_GoBack"/>
      <w:bookmarkEnd w:id="0"/>
    </w:p>
    <w:p w14:paraId="7EA9040A" w14:textId="77777777" w:rsidR="00D476DB" w:rsidRPr="00F13B58" w:rsidRDefault="00D476DB" w:rsidP="0067454F">
      <w:pPr>
        <w:rPr>
          <w:szCs w:val="24"/>
          <w:lang w:val="fr-FR"/>
        </w:rPr>
      </w:pPr>
    </w:p>
    <w:p w14:paraId="350CFCD4" w14:textId="77777777" w:rsidR="0067454F" w:rsidRPr="00F13B58" w:rsidRDefault="0067454F" w:rsidP="0067454F">
      <w:pPr>
        <w:rPr>
          <w:b/>
        </w:rPr>
      </w:pPr>
      <w:r w:rsidRPr="00F13B58">
        <w:rPr>
          <w:b/>
        </w:rPr>
        <w:t>Sebastian Astroza</w:t>
      </w:r>
    </w:p>
    <w:p w14:paraId="4E4C1AF8" w14:textId="77777777" w:rsidR="0067454F" w:rsidRPr="00F13B58" w:rsidRDefault="0067454F" w:rsidP="0067454F">
      <w:r w:rsidRPr="00F13B58">
        <w:t>The University of Texas at Austin</w:t>
      </w:r>
    </w:p>
    <w:p w14:paraId="58B380A5" w14:textId="77777777" w:rsidR="0067454F" w:rsidRPr="00F13B58" w:rsidRDefault="0067454F" w:rsidP="0067454F">
      <w:r w:rsidRPr="00F13B58">
        <w:t>Dep</w:t>
      </w:r>
      <w:r>
        <w:t>ar</w:t>
      </w:r>
      <w:r w:rsidRPr="00F13B58">
        <w:t>t</w:t>
      </w:r>
      <w:r>
        <w:t>ment</w:t>
      </w:r>
      <w:r w:rsidRPr="00F13B58">
        <w:t xml:space="preserve"> of Civil, Architectural and Environmental Engineering</w:t>
      </w:r>
    </w:p>
    <w:p w14:paraId="795B3100" w14:textId="0D6A19D8" w:rsidR="0067454F" w:rsidRPr="00F13B58" w:rsidRDefault="0067454F" w:rsidP="0067454F">
      <w:r w:rsidRPr="00F13B58">
        <w:t>301 E. Dean Keeton St. Stop C1761, Austin</w:t>
      </w:r>
      <w:r w:rsidR="00D803C3">
        <w:t>,</w:t>
      </w:r>
      <w:r w:rsidRPr="00F13B58">
        <w:t xml:space="preserve"> TX 78712</w:t>
      </w:r>
      <w:r>
        <w:t>, USA</w:t>
      </w:r>
    </w:p>
    <w:p w14:paraId="3A73BEE4" w14:textId="77777777" w:rsidR="0067454F" w:rsidRDefault="0067454F" w:rsidP="0067454F">
      <w:r w:rsidRPr="00F13B58">
        <w:t xml:space="preserve">Phone: </w:t>
      </w:r>
      <w:r>
        <w:t>1-</w:t>
      </w:r>
      <w:r w:rsidRPr="00F13B58">
        <w:t xml:space="preserve">512-471-4535, Fax: </w:t>
      </w:r>
      <w:r>
        <w:t>1-</w:t>
      </w:r>
      <w:r w:rsidRPr="00F13B58">
        <w:t>512-475-8744</w:t>
      </w:r>
    </w:p>
    <w:p w14:paraId="056F0E45" w14:textId="77777777" w:rsidR="00914885" w:rsidRPr="00F13B58" w:rsidRDefault="0067454F" w:rsidP="0067454F">
      <w:pPr>
        <w:rPr>
          <w:szCs w:val="24"/>
        </w:rPr>
      </w:pPr>
      <w:r w:rsidRPr="00A2598D">
        <w:rPr>
          <w:lang w:val="fr-FR"/>
        </w:rPr>
        <w:t xml:space="preserve">Email: </w:t>
      </w:r>
      <w:hyperlink r:id="rId9" w:history="1">
        <w:r w:rsidRPr="00A2598D">
          <w:rPr>
            <w:rStyle w:val="Hyperlink"/>
            <w:lang w:val="fr-FR"/>
          </w:rPr>
          <w:t>sastroza@utexas.edu</w:t>
        </w:r>
      </w:hyperlink>
      <w:r w:rsidR="001F31FD">
        <w:rPr>
          <w:szCs w:val="24"/>
        </w:rPr>
        <w:t xml:space="preserve"> </w:t>
      </w:r>
    </w:p>
    <w:p w14:paraId="10830D97" w14:textId="77777777" w:rsidR="00914885" w:rsidRDefault="00914885" w:rsidP="0067454F">
      <w:pPr>
        <w:rPr>
          <w:color w:val="000000"/>
          <w:szCs w:val="24"/>
          <w:lang w:val="de-DE"/>
        </w:rPr>
      </w:pPr>
    </w:p>
    <w:p w14:paraId="2A9FA98D" w14:textId="77777777" w:rsidR="005168F8" w:rsidRDefault="005168F8" w:rsidP="0067454F">
      <w:pPr>
        <w:rPr>
          <w:color w:val="000000"/>
          <w:szCs w:val="24"/>
          <w:lang w:val="de-DE"/>
        </w:rPr>
      </w:pPr>
    </w:p>
    <w:p w14:paraId="1EEE12AD" w14:textId="77777777" w:rsidR="00F8348A" w:rsidRPr="00F13B58" w:rsidRDefault="008F71A9" w:rsidP="0067454F">
      <w:pPr>
        <w:rPr>
          <w:b/>
          <w:szCs w:val="24"/>
          <w:lang w:val="fr-FR"/>
        </w:rPr>
      </w:pPr>
      <w:proofErr w:type="spellStart"/>
      <w:r>
        <w:rPr>
          <w:b/>
          <w:szCs w:val="24"/>
          <w:lang w:val="fr-FR"/>
        </w:rPr>
        <w:t>Priyadarshan</w:t>
      </w:r>
      <w:proofErr w:type="spellEnd"/>
      <w:r>
        <w:rPr>
          <w:b/>
          <w:szCs w:val="24"/>
          <w:lang w:val="fr-FR"/>
        </w:rPr>
        <w:t xml:space="preserve"> N. Patil</w:t>
      </w:r>
    </w:p>
    <w:p w14:paraId="2E4F3304" w14:textId="77777777" w:rsidR="00F8348A" w:rsidRPr="00F13B58" w:rsidRDefault="00F8348A" w:rsidP="0067454F">
      <w:pPr>
        <w:rPr>
          <w:szCs w:val="24"/>
        </w:rPr>
      </w:pPr>
      <w:r w:rsidRPr="00F13B58">
        <w:rPr>
          <w:szCs w:val="24"/>
        </w:rPr>
        <w:t>The University of Texas at Austin</w:t>
      </w:r>
    </w:p>
    <w:p w14:paraId="2F64F4D3" w14:textId="77777777" w:rsidR="0067454F" w:rsidRPr="00F13B58" w:rsidRDefault="0067454F" w:rsidP="0067454F">
      <w:r w:rsidRPr="00F13B58">
        <w:t>Dep</w:t>
      </w:r>
      <w:r>
        <w:t>ar</w:t>
      </w:r>
      <w:r w:rsidRPr="00F13B58">
        <w:t>t</w:t>
      </w:r>
      <w:r>
        <w:t>ment</w:t>
      </w:r>
      <w:r w:rsidRPr="00F13B58">
        <w:t xml:space="preserve"> of Civil, Architectural and Environmental Engineering</w:t>
      </w:r>
    </w:p>
    <w:p w14:paraId="4F110A5C" w14:textId="3A6E3149" w:rsidR="0067454F" w:rsidRPr="00F13B58" w:rsidRDefault="0067454F" w:rsidP="0067454F">
      <w:r w:rsidRPr="00F13B58">
        <w:t>301 E. Dean Keeton St. Stop C1761, Austin</w:t>
      </w:r>
      <w:r w:rsidR="00D803C3">
        <w:t>,</w:t>
      </w:r>
      <w:r w:rsidRPr="00F13B58">
        <w:t xml:space="preserve"> TX 78712</w:t>
      </w:r>
      <w:r>
        <w:t>, USA</w:t>
      </w:r>
    </w:p>
    <w:p w14:paraId="5BC73EBE" w14:textId="77777777" w:rsidR="00F8348A" w:rsidRPr="00F13B58" w:rsidRDefault="0067454F" w:rsidP="0067454F">
      <w:pPr>
        <w:rPr>
          <w:szCs w:val="24"/>
        </w:rPr>
      </w:pPr>
      <w:r w:rsidRPr="00F13B58">
        <w:t xml:space="preserve">Phone: </w:t>
      </w:r>
      <w:r>
        <w:t>1-</w:t>
      </w:r>
      <w:r w:rsidRPr="00F13B58">
        <w:t xml:space="preserve">512-471-4535, Fax: </w:t>
      </w:r>
      <w:r>
        <w:t>1-</w:t>
      </w:r>
      <w:r w:rsidRPr="00F13B58">
        <w:t>512-475-8744</w:t>
      </w:r>
    </w:p>
    <w:p w14:paraId="05BED844" w14:textId="77777777" w:rsidR="00F8348A" w:rsidRPr="00F13B58" w:rsidRDefault="00F8348A" w:rsidP="0067454F">
      <w:pPr>
        <w:rPr>
          <w:szCs w:val="24"/>
        </w:rPr>
      </w:pPr>
      <w:r w:rsidRPr="00F13B58">
        <w:rPr>
          <w:szCs w:val="24"/>
        </w:rPr>
        <w:t xml:space="preserve">Email: </w:t>
      </w:r>
      <w:hyperlink r:id="rId10" w:history="1">
        <w:r w:rsidR="008F71A9" w:rsidRPr="00300F71">
          <w:rPr>
            <w:rStyle w:val="Hyperlink"/>
            <w:szCs w:val="24"/>
          </w:rPr>
          <w:t>priyadarshan@utexas.edu</w:t>
        </w:r>
      </w:hyperlink>
      <w:r w:rsidR="001F31FD">
        <w:rPr>
          <w:szCs w:val="24"/>
        </w:rPr>
        <w:t xml:space="preserve"> </w:t>
      </w:r>
    </w:p>
    <w:p w14:paraId="057B68FF" w14:textId="77777777" w:rsidR="00F8348A" w:rsidRDefault="00F8348A" w:rsidP="0067454F">
      <w:pPr>
        <w:rPr>
          <w:color w:val="000000"/>
          <w:szCs w:val="24"/>
          <w:lang w:val="de-DE"/>
        </w:rPr>
      </w:pPr>
    </w:p>
    <w:p w14:paraId="291F2373" w14:textId="77777777" w:rsidR="005168F8" w:rsidRDefault="005168F8" w:rsidP="0067454F">
      <w:pPr>
        <w:rPr>
          <w:color w:val="000000"/>
          <w:szCs w:val="24"/>
          <w:lang w:val="de-DE"/>
        </w:rPr>
      </w:pPr>
    </w:p>
    <w:p w14:paraId="0C189E4C" w14:textId="77777777" w:rsidR="008F71A9" w:rsidRPr="00F13B58" w:rsidRDefault="008F71A9" w:rsidP="0067454F">
      <w:pPr>
        <w:rPr>
          <w:b/>
          <w:szCs w:val="24"/>
          <w:lang w:val="fr-FR"/>
        </w:rPr>
      </w:pPr>
      <w:r>
        <w:rPr>
          <w:b/>
          <w:szCs w:val="24"/>
          <w:lang w:val="fr-FR"/>
        </w:rPr>
        <w:t>Katherine I. Smith</w:t>
      </w:r>
    </w:p>
    <w:p w14:paraId="277D8B2C" w14:textId="77777777" w:rsidR="00F8348A" w:rsidRPr="00F13B58" w:rsidRDefault="00F8348A" w:rsidP="0067454F">
      <w:pPr>
        <w:rPr>
          <w:szCs w:val="24"/>
        </w:rPr>
      </w:pPr>
      <w:r w:rsidRPr="00F13B58">
        <w:rPr>
          <w:szCs w:val="24"/>
        </w:rPr>
        <w:t>The University of Texas at Austin</w:t>
      </w:r>
    </w:p>
    <w:p w14:paraId="1650EE5B" w14:textId="77777777" w:rsidR="0067454F" w:rsidRPr="00F13B58" w:rsidRDefault="0067454F" w:rsidP="0067454F">
      <w:r w:rsidRPr="00F13B58">
        <w:t>Dep</w:t>
      </w:r>
      <w:r>
        <w:t>ar</w:t>
      </w:r>
      <w:r w:rsidRPr="00F13B58">
        <w:t>t</w:t>
      </w:r>
      <w:r>
        <w:t>ment</w:t>
      </w:r>
      <w:r w:rsidRPr="00F13B58">
        <w:t xml:space="preserve"> of Civil, Architectural and Environmental Engineering</w:t>
      </w:r>
    </w:p>
    <w:p w14:paraId="39D4C498" w14:textId="306591BD" w:rsidR="0067454F" w:rsidRPr="00F13B58" w:rsidRDefault="0067454F" w:rsidP="0067454F">
      <w:r w:rsidRPr="00F13B58">
        <w:t>301 E. Dean Keeton St. Stop C1761, Austin</w:t>
      </w:r>
      <w:r w:rsidR="00D803C3">
        <w:t>,</w:t>
      </w:r>
      <w:r w:rsidRPr="00F13B58">
        <w:t xml:space="preserve"> TX 78712</w:t>
      </w:r>
      <w:r>
        <w:t>, USA</w:t>
      </w:r>
    </w:p>
    <w:p w14:paraId="3286C327" w14:textId="77777777" w:rsidR="00F8348A" w:rsidRPr="00F13B58" w:rsidRDefault="0067454F" w:rsidP="0067454F">
      <w:pPr>
        <w:rPr>
          <w:szCs w:val="24"/>
        </w:rPr>
      </w:pPr>
      <w:r w:rsidRPr="00F13B58">
        <w:t xml:space="preserve">Phone: </w:t>
      </w:r>
      <w:r>
        <w:t>1-</w:t>
      </w:r>
      <w:r w:rsidRPr="00F13B58">
        <w:t xml:space="preserve">512-471-4535, Fax: </w:t>
      </w:r>
      <w:r>
        <w:t>1-</w:t>
      </w:r>
      <w:r w:rsidRPr="00F13B58">
        <w:t>512-475-8744</w:t>
      </w:r>
    </w:p>
    <w:p w14:paraId="76F97107" w14:textId="77777777" w:rsidR="00F8348A" w:rsidRPr="00F13B58" w:rsidRDefault="00F8348A" w:rsidP="0067454F">
      <w:pPr>
        <w:rPr>
          <w:szCs w:val="24"/>
        </w:rPr>
      </w:pPr>
      <w:r w:rsidRPr="00F13B58">
        <w:rPr>
          <w:szCs w:val="24"/>
        </w:rPr>
        <w:t xml:space="preserve">Email: </w:t>
      </w:r>
      <w:hyperlink r:id="rId11" w:history="1">
        <w:r w:rsidR="008F71A9" w:rsidRPr="00300F71">
          <w:rPr>
            <w:rStyle w:val="Hyperlink"/>
            <w:szCs w:val="24"/>
          </w:rPr>
          <w:t>katherine.smith@utexas.edu</w:t>
        </w:r>
      </w:hyperlink>
      <w:r w:rsidR="001F31FD">
        <w:rPr>
          <w:szCs w:val="24"/>
        </w:rPr>
        <w:t xml:space="preserve"> </w:t>
      </w:r>
    </w:p>
    <w:p w14:paraId="5A720CC8" w14:textId="77777777" w:rsidR="00F8348A" w:rsidRDefault="00F8348A" w:rsidP="0067454F">
      <w:pPr>
        <w:rPr>
          <w:color w:val="000000"/>
          <w:szCs w:val="24"/>
          <w:lang w:val="de-DE"/>
        </w:rPr>
      </w:pPr>
    </w:p>
    <w:p w14:paraId="37573F2B" w14:textId="77777777" w:rsidR="005168F8" w:rsidRDefault="005168F8" w:rsidP="0067454F">
      <w:pPr>
        <w:rPr>
          <w:color w:val="000000"/>
          <w:szCs w:val="24"/>
          <w:lang w:val="de-DE"/>
        </w:rPr>
      </w:pPr>
    </w:p>
    <w:p w14:paraId="015837C2" w14:textId="77777777" w:rsidR="00224255" w:rsidRPr="00F13B58" w:rsidRDefault="0067454F" w:rsidP="0067454F">
      <w:pPr>
        <w:rPr>
          <w:b/>
          <w:szCs w:val="24"/>
          <w:lang w:val="fr-FR"/>
        </w:rPr>
      </w:pPr>
      <w:r w:rsidRPr="00822066">
        <w:rPr>
          <w:b/>
          <w:lang w:val="fr-FR"/>
        </w:rPr>
        <w:t>Chandra R. Bhat</w:t>
      </w:r>
      <w:r>
        <w:rPr>
          <w:b/>
          <w:lang w:val="fr-FR"/>
        </w:rPr>
        <w:t xml:space="preserve"> </w:t>
      </w:r>
      <w:r w:rsidRPr="0012225D">
        <w:rPr>
          <w:b/>
        </w:rPr>
        <w:t>(corresponding author)</w:t>
      </w:r>
    </w:p>
    <w:p w14:paraId="305FC141" w14:textId="77777777" w:rsidR="00224255" w:rsidRPr="00F13B58" w:rsidRDefault="00224255" w:rsidP="0067454F">
      <w:pPr>
        <w:rPr>
          <w:szCs w:val="24"/>
        </w:rPr>
      </w:pPr>
      <w:r w:rsidRPr="00F13B58">
        <w:rPr>
          <w:szCs w:val="24"/>
        </w:rPr>
        <w:t>The University of Texas at Austin</w:t>
      </w:r>
    </w:p>
    <w:p w14:paraId="6485A1CB" w14:textId="77777777" w:rsidR="0067454F" w:rsidRPr="00F13B58" w:rsidRDefault="0067454F" w:rsidP="0067454F">
      <w:r w:rsidRPr="00F13B58">
        <w:t>Dep</w:t>
      </w:r>
      <w:r>
        <w:t>ar</w:t>
      </w:r>
      <w:r w:rsidRPr="00F13B58">
        <w:t>t</w:t>
      </w:r>
      <w:r>
        <w:t>ment</w:t>
      </w:r>
      <w:r w:rsidRPr="00F13B58">
        <w:t xml:space="preserve"> of Civil, Architectural and Environmental Engineering</w:t>
      </w:r>
    </w:p>
    <w:p w14:paraId="759CE383" w14:textId="4394DFCB" w:rsidR="0067454F" w:rsidRPr="00F13B58" w:rsidRDefault="0067454F" w:rsidP="0067454F">
      <w:r w:rsidRPr="00F13B58">
        <w:t>301 E. Dean Keeton St. Stop C1761, Austin</w:t>
      </w:r>
      <w:r w:rsidR="00D803C3">
        <w:t>,</w:t>
      </w:r>
      <w:r w:rsidRPr="00F13B58">
        <w:t xml:space="preserve"> TX 78712</w:t>
      </w:r>
      <w:r>
        <w:t>, USA</w:t>
      </w:r>
    </w:p>
    <w:p w14:paraId="1ED11D5D" w14:textId="77777777" w:rsidR="00224255" w:rsidRPr="00F13B58" w:rsidRDefault="0067454F" w:rsidP="0067454F">
      <w:pPr>
        <w:rPr>
          <w:szCs w:val="24"/>
        </w:rPr>
      </w:pPr>
      <w:r w:rsidRPr="00F13B58">
        <w:t xml:space="preserve">Phone: </w:t>
      </w:r>
      <w:r>
        <w:t>1-</w:t>
      </w:r>
      <w:r w:rsidRPr="00F13B58">
        <w:t xml:space="preserve">512-471-4535, Fax: </w:t>
      </w:r>
      <w:r>
        <w:t>1-</w:t>
      </w:r>
      <w:r w:rsidRPr="00F13B58">
        <w:t>512-475-8744</w:t>
      </w:r>
    </w:p>
    <w:p w14:paraId="57604D87" w14:textId="77777777" w:rsidR="00224255" w:rsidRPr="00F13B58" w:rsidRDefault="00224255" w:rsidP="0067454F">
      <w:pPr>
        <w:rPr>
          <w:szCs w:val="24"/>
        </w:rPr>
      </w:pPr>
      <w:r w:rsidRPr="00F13B58">
        <w:rPr>
          <w:szCs w:val="24"/>
        </w:rPr>
        <w:t xml:space="preserve">Email: </w:t>
      </w:r>
      <w:hyperlink r:id="rId12" w:history="1">
        <w:r w:rsidRPr="00F13B58">
          <w:rPr>
            <w:rStyle w:val="Hyperlink"/>
            <w:szCs w:val="24"/>
          </w:rPr>
          <w:t>bhat@mail.utexas.edu</w:t>
        </w:r>
      </w:hyperlink>
      <w:r>
        <w:rPr>
          <w:szCs w:val="24"/>
        </w:rPr>
        <w:t xml:space="preserve"> </w:t>
      </w:r>
    </w:p>
    <w:p w14:paraId="248B1E98" w14:textId="77777777" w:rsidR="00317B06" w:rsidRDefault="00317B06" w:rsidP="00317B06">
      <w:pPr>
        <w:rPr>
          <w:bCs/>
          <w:kern w:val="32"/>
        </w:rPr>
      </w:pPr>
      <w:proofErr w:type="gramStart"/>
      <w:r>
        <w:rPr>
          <w:bCs/>
          <w:kern w:val="32"/>
        </w:rPr>
        <w:t>and</w:t>
      </w:r>
      <w:proofErr w:type="gramEnd"/>
    </w:p>
    <w:p w14:paraId="08216BF0" w14:textId="47257758" w:rsidR="0023205B" w:rsidRDefault="005168F8" w:rsidP="00317B06">
      <w:pPr>
        <w:rPr>
          <w:bCs/>
          <w:kern w:val="32"/>
        </w:rPr>
      </w:pPr>
      <w:r>
        <w:t>The Hong Kong Polytechnic University</w:t>
      </w:r>
      <w:r w:rsidRPr="00CF5A9A">
        <w:rPr>
          <w:bCs/>
          <w:kern w:val="32"/>
        </w:rPr>
        <w:t xml:space="preserve">, </w:t>
      </w:r>
      <w:r>
        <w:t xml:space="preserve">Hung </w:t>
      </w:r>
      <w:proofErr w:type="spellStart"/>
      <w:r>
        <w:t>Hom</w:t>
      </w:r>
      <w:proofErr w:type="spellEnd"/>
      <w:r>
        <w:t>, Kowloon, Hong Kong</w:t>
      </w:r>
    </w:p>
    <w:p w14:paraId="00FCC308" w14:textId="77777777" w:rsidR="005168F8" w:rsidRDefault="005168F8" w:rsidP="00317B06">
      <w:pPr>
        <w:rPr>
          <w:bCs/>
          <w:kern w:val="32"/>
        </w:rPr>
      </w:pPr>
    </w:p>
    <w:p w14:paraId="282FCF8E" w14:textId="77777777" w:rsidR="005168F8" w:rsidRDefault="005168F8" w:rsidP="00317B06">
      <w:pPr>
        <w:rPr>
          <w:bCs/>
          <w:kern w:val="32"/>
        </w:rPr>
      </w:pPr>
    </w:p>
    <w:p w14:paraId="05368AF1" w14:textId="5201C7A8" w:rsidR="006340FF" w:rsidRPr="008326B0" w:rsidRDefault="006340FF" w:rsidP="0067454F">
      <w:pPr>
        <w:sectPr w:rsidR="006340FF" w:rsidRPr="008326B0" w:rsidSect="00791ECF">
          <w:headerReference w:type="default" r:id="rId13"/>
          <w:footerReference w:type="default" r:id="rId14"/>
          <w:pgSz w:w="12240" w:h="15840"/>
          <w:pgMar w:top="1440" w:right="1440" w:bottom="1440" w:left="1440" w:header="720" w:footer="720" w:gutter="0"/>
          <w:pgNumType w:start="1"/>
          <w:cols w:space="720"/>
          <w:titlePg/>
          <w:docGrid w:linePitch="360"/>
        </w:sectPr>
      </w:pPr>
    </w:p>
    <w:p w14:paraId="187CEE3C" w14:textId="77777777" w:rsidR="00A407F6" w:rsidRPr="00F13B58" w:rsidRDefault="00E93ACE" w:rsidP="0067454F">
      <w:pPr>
        <w:rPr>
          <w:b/>
          <w:caps/>
          <w:szCs w:val="24"/>
        </w:rPr>
      </w:pPr>
      <w:r w:rsidRPr="00F13B58">
        <w:rPr>
          <w:b/>
          <w:caps/>
          <w:szCs w:val="24"/>
        </w:rPr>
        <w:lastRenderedPageBreak/>
        <w:t>ABSTRACT</w:t>
      </w:r>
    </w:p>
    <w:p w14:paraId="0BCC2D7F" w14:textId="3C0EEF0E" w:rsidR="00D833BA" w:rsidRDefault="00D833BA" w:rsidP="0067454F">
      <w:pPr>
        <w:keepNext/>
        <w:contextualSpacing/>
        <w:jc w:val="both"/>
        <w:rPr>
          <w:szCs w:val="24"/>
        </w:rPr>
      </w:pPr>
      <w:r w:rsidRPr="00D833BA">
        <w:rPr>
          <w:szCs w:val="24"/>
        </w:rPr>
        <w:t>Given the upward trend in wind energy production</w:t>
      </w:r>
      <w:r>
        <w:rPr>
          <w:szCs w:val="24"/>
        </w:rPr>
        <w:t xml:space="preserve"> in Texas</w:t>
      </w:r>
      <w:r w:rsidRPr="00D833BA">
        <w:rPr>
          <w:szCs w:val="24"/>
        </w:rPr>
        <w:t>, this paper</w:t>
      </w:r>
      <w:r w:rsidR="00902A05">
        <w:rPr>
          <w:szCs w:val="24"/>
        </w:rPr>
        <w:t xml:space="preserve"> </w:t>
      </w:r>
      <w:r w:rsidR="005A18EF">
        <w:rPr>
          <w:szCs w:val="24"/>
        </w:rPr>
        <w:t xml:space="preserve">proposes </w:t>
      </w:r>
      <w:r w:rsidR="005A18EF" w:rsidRPr="005A18EF">
        <w:rPr>
          <w:szCs w:val="24"/>
        </w:rPr>
        <w:t xml:space="preserve">a methodology and an associated operational planning tool that can be used to </w:t>
      </w:r>
      <w:r w:rsidR="00A6207F">
        <w:rPr>
          <w:szCs w:val="24"/>
        </w:rPr>
        <w:t>develop</w:t>
      </w:r>
      <w:r w:rsidR="005A18EF" w:rsidRPr="005A18EF">
        <w:rPr>
          <w:szCs w:val="24"/>
        </w:rPr>
        <w:t xml:space="preserve"> optimal route plans for </w:t>
      </w:r>
      <w:r w:rsidR="00A6207F">
        <w:rPr>
          <w:szCs w:val="24"/>
        </w:rPr>
        <w:t xml:space="preserve">the transportation of </w:t>
      </w:r>
      <w:r w:rsidR="005A18EF" w:rsidRPr="005A18EF">
        <w:rPr>
          <w:szCs w:val="24"/>
        </w:rPr>
        <w:t>wind turbine components on Texas ro</w:t>
      </w:r>
      <w:r w:rsidR="00A6207F">
        <w:rPr>
          <w:szCs w:val="24"/>
        </w:rPr>
        <w:t>adways. In addition, the paper provides recommendations for transportation infrastructure maintenance and upgrade strategies, as well as for more general multi-sector infrastructure improvements needed, in response to the predicted growth of wind energy over time</w:t>
      </w:r>
      <w:r w:rsidR="005A18EF" w:rsidRPr="005A18EF">
        <w:rPr>
          <w:szCs w:val="24"/>
        </w:rPr>
        <w:t>.</w:t>
      </w:r>
      <w:r w:rsidR="005A18EF">
        <w:rPr>
          <w:szCs w:val="24"/>
        </w:rPr>
        <w:t xml:space="preserve"> </w:t>
      </w:r>
      <w:r w:rsidR="005642C8">
        <w:rPr>
          <w:szCs w:val="24"/>
        </w:rPr>
        <w:t>Specifically, a</w:t>
      </w:r>
      <w:r w:rsidR="00DD2688">
        <w:rPr>
          <w:szCs w:val="24"/>
        </w:rPr>
        <w:t xml:space="preserve">s part of </w:t>
      </w:r>
      <w:r w:rsidR="00A6207F">
        <w:rPr>
          <w:szCs w:val="24"/>
        </w:rPr>
        <w:t>this</w:t>
      </w:r>
      <w:r w:rsidR="00DD2688">
        <w:rPr>
          <w:szCs w:val="24"/>
        </w:rPr>
        <w:t xml:space="preserve"> research, w</w:t>
      </w:r>
      <w:r>
        <w:rPr>
          <w:szCs w:val="24"/>
        </w:rPr>
        <w:t>e predict the amount of energy that will be installed in Texas from 2015 to 2025 and we use our tool, along with detailed knowledge of the wind energy production industry</w:t>
      </w:r>
      <w:r w:rsidR="00E16C80">
        <w:rPr>
          <w:szCs w:val="24"/>
        </w:rPr>
        <w:t xml:space="preserve"> and the related supply</w:t>
      </w:r>
      <w:r w:rsidR="00B97E4D">
        <w:rPr>
          <w:szCs w:val="24"/>
        </w:rPr>
        <w:t xml:space="preserve"> </w:t>
      </w:r>
      <w:r w:rsidR="00E16C80">
        <w:rPr>
          <w:szCs w:val="24"/>
        </w:rPr>
        <w:t>chain</w:t>
      </w:r>
      <w:r>
        <w:rPr>
          <w:szCs w:val="24"/>
        </w:rPr>
        <w:t xml:space="preserve">, to find the </w:t>
      </w:r>
      <w:r w:rsidR="00F5565E">
        <w:rPr>
          <w:szCs w:val="24"/>
        </w:rPr>
        <w:t xml:space="preserve">optimal </w:t>
      </w:r>
      <w:r>
        <w:rPr>
          <w:szCs w:val="24"/>
        </w:rPr>
        <w:t>routes for</w:t>
      </w:r>
      <w:r w:rsidR="00DF4CF6">
        <w:rPr>
          <w:szCs w:val="24"/>
        </w:rPr>
        <w:t xml:space="preserve"> the wind turbine</w:t>
      </w:r>
      <w:r w:rsidR="000C2890">
        <w:rPr>
          <w:szCs w:val="24"/>
        </w:rPr>
        <w:t xml:space="preserve"> components</w:t>
      </w:r>
      <w:r w:rsidR="004749C1">
        <w:rPr>
          <w:szCs w:val="24"/>
        </w:rPr>
        <w:t xml:space="preserve"> (minimizing both </w:t>
      </w:r>
      <w:r w:rsidR="00A95DED">
        <w:rPr>
          <w:szCs w:val="24"/>
        </w:rPr>
        <w:t xml:space="preserve">potential for </w:t>
      </w:r>
      <w:r w:rsidR="004749C1">
        <w:rPr>
          <w:szCs w:val="24"/>
        </w:rPr>
        <w:t>road damage and driver delay)</w:t>
      </w:r>
      <w:r w:rsidR="00DF4CF6">
        <w:rPr>
          <w:szCs w:val="24"/>
        </w:rPr>
        <w:t xml:space="preserve">. We also </w:t>
      </w:r>
      <w:r w:rsidR="00576F03">
        <w:rPr>
          <w:szCs w:val="24"/>
        </w:rPr>
        <w:t xml:space="preserve">propose a methodology to </w:t>
      </w:r>
      <w:r w:rsidR="00DF4CF6">
        <w:rPr>
          <w:szCs w:val="24"/>
        </w:rPr>
        <w:t xml:space="preserve">use our tool </w:t>
      </w:r>
      <w:r w:rsidR="003B4C03">
        <w:rPr>
          <w:szCs w:val="24"/>
        </w:rPr>
        <w:t>for the analysis of</w:t>
      </w:r>
      <w:r w:rsidR="00DF4CF6">
        <w:rPr>
          <w:szCs w:val="24"/>
        </w:rPr>
        <w:t xml:space="preserve"> several </w:t>
      </w:r>
      <w:r w:rsidR="00DD2688">
        <w:rPr>
          <w:szCs w:val="24"/>
        </w:rPr>
        <w:t>“</w:t>
      </w:r>
      <w:r w:rsidR="00DF4CF6">
        <w:rPr>
          <w:szCs w:val="24"/>
        </w:rPr>
        <w:t>what-if</w:t>
      </w:r>
      <w:r w:rsidR="00DD2688">
        <w:rPr>
          <w:szCs w:val="24"/>
        </w:rPr>
        <w:t>?”</w:t>
      </w:r>
      <w:r w:rsidR="00DF4CF6">
        <w:rPr>
          <w:szCs w:val="24"/>
        </w:rPr>
        <w:t xml:space="preserve"> scenarios</w:t>
      </w:r>
      <w:r w:rsidR="00DD2688">
        <w:rPr>
          <w:szCs w:val="24"/>
        </w:rPr>
        <w:t>.</w:t>
      </w:r>
      <w:r w:rsidR="003B4C03">
        <w:rPr>
          <w:szCs w:val="24"/>
        </w:rPr>
        <w:t xml:space="preserve"> </w:t>
      </w:r>
      <w:r w:rsidR="009E3D97">
        <w:rPr>
          <w:szCs w:val="24"/>
        </w:rPr>
        <w:t>The tool and the associated methodology, while developed for Texas, can be</w:t>
      </w:r>
      <w:r w:rsidR="00AC7B98">
        <w:rPr>
          <w:szCs w:val="24"/>
        </w:rPr>
        <w:t xml:space="preserve"> </w:t>
      </w:r>
      <w:r w:rsidR="00385A7F">
        <w:rPr>
          <w:szCs w:val="24"/>
        </w:rPr>
        <w:t>generalized</w:t>
      </w:r>
      <w:r w:rsidR="009E3D97">
        <w:rPr>
          <w:szCs w:val="24"/>
        </w:rPr>
        <w:t xml:space="preserve"> to any other state, after updating the underlying databases.</w:t>
      </w:r>
    </w:p>
    <w:p w14:paraId="32FA0F5E" w14:textId="77777777" w:rsidR="00C617CA" w:rsidRDefault="00C617CA" w:rsidP="0067454F">
      <w:pPr>
        <w:keepNext/>
        <w:contextualSpacing/>
        <w:jc w:val="both"/>
        <w:rPr>
          <w:szCs w:val="24"/>
        </w:rPr>
      </w:pPr>
    </w:p>
    <w:p w14:paraId="3E2C65C3" w14:textId="77777777" w:rsidR="00D41AB3" w:rsidRPr="00AC7FE0" w:rsidRDefault="00C617CA" w:rsidP="0067454F">
      <w:pPr>
        <w:keepNext/>
        <w:contextualSpacing/>
        <w:jc w:val="both"/>
        <w:rPr>
          <w:szCs w:val="24"/>
        </w:rPr>
      </w:pPr>
      <w:r w:rsidRPr="0067454F">
        <w:rPr>
          <w:i/>
          <w:szCs w:val="24"/>
        </w:rPr>
        <w:t>Keywords:</w:t>
      </w:r>
      <w:r>
        <w:rPr>
          <w:szCs w:val="24"/>
        </w:rPr>
        <w:t xml:space="preserve"> </w:t>
      </w:r>
      <w:r w:rsidR="00936B41">
        <w:rPr>
          <w:szCs w:val="24"/>
        </w:rPr>
        <w:t xml:space="preserve">Wind energy production, planning tool, wind turbine components transportation, renewable energy, </w:t>
      </w:r>
      <w:proofErr w:type="gramStart"/>
      <w:r w:rsidR="00936B41">
        <w:rPr>
          <w:szCs w:val="24"/>
        </w:rPr>
        <w:t>route</w:t>
      </w:r>
      <w:proofErr w:type="gramEnd"/>
      <w:r w:rsidR="00936B41">
        <w:rPr>
          <w:szCs w:val="24"/>
        </w:rPr>
        <w:t xml:space="preserve"> planning.</w:t>
      </w:r>
    </w:p>
    <w:p w14:paraId="4848B0CC" w14:textId="77777777" w:rsidR="003F3F4F" w:rsidRPr="00F13B58" w:rsidRDefault="003F3F4F" w:rsidP="0067454F">
      <w:pPr>
        <w:keepNext/>
        <w:contextualSpacing/>
        <w:jc w:val="both"/>
        <w:rPr>
          <w:b/>
          <w:caps/>
          <w:szCs w:val="24"/>
        </w:rPr>
        <w:sectPr w:rsidR="003F3F4F" w:rsidRPr="00F13B58" w:rsidSect="00D476DB">
          <w:headerReference w:type="default" r:id="rId15"/>
          <w:pgSz w:w="12240" w:h="15840"/>
          <w:pgMar w:top="1440" w:right="1440" w:bottom="1440" w:left="1440" w:header="720" w:footer="720" w:gutter="0"/>
          <w:pgNumType w:start="1"/>
          <w:cols w:space="720"/>
          <w:docGrid w:linePitch="360"/>
        </w:sectPr>
      </w:pPr>
    </w:p>
    <w:p w14:paraId="27B35C7A" w14:textId="77777777" w:rsidR="0023205B" w:rsidRPr="00192386" w:rsidRDefault="007419A0" w:rsidP="0067454F">
      <w:pPr>
        <w:pStyle w:val="Heading1"/>
        <w:spacing w:line="240" w:lineRule="auto"/>
      </w:pPr>
      <w:r w:rsidRPr="00192386">
        <w:rPr>
          <w:caps w:val="0"/>
        </w:rPr>
        <w:lastRenderedPageBreak/>
        <w:t>1. INTRODUCTION</w:t>
      </w:r>
    </w:p>
    <w:p w14:paraId="26EF6A0C" w14:textId="77777777" w:rsidR="00620F92" w:rsidRPr="00620F92" w:rsidRDefault="00620F92" w:rsidP="0067454F">
      <w:pPr>
        <w:autoSpaceDE w:val="0"/>
        <w:autoSpaceDN w:val="0"/>
        <w:adjustRightInd w:val="0"/>
        <w:jc w:val="both"/>
        <w:rPr>
          <w:b/>
        </w:rPr>
      </w:pPr>
      <w:r w:rsidRPr="00620F92">
        <w:rPr>
          <w:b/>
        </w:rPr>
        <w:t>1.1. Background</w:t>
      </w:r>
    </w:p>
    <w:p w14:paraId="49C40AE7" w14:textId="6D0F396E" w:rsidR="000B5D11" w:rsidRPr="000B5D11" w:rsidRDefault="000B5D11" w:rsidP="0067454F">
      <w:pPr>
        <w:autoSpaceDE w:val="0"/>
        <w:autoSpaceDN w:val="0"/>
        <w:adjustRightInd w:val="0"/>
        <w:jc w:val="both"/>
      </w:pPr>
      <w:r>
        <w:t>Texas</w:t>
      </w:r>
      <w:r w:rsidR="00251193">
        <w:t xml:space="preserve"> is</w:t>
      </w:r>
      <w:r w:rsidR="008145EE">
        <w:t xml:space="preserve"> the top state in </w:t>
      </w:r>
      <w:r w:rsidR="00251193">
        <w:t xml:space="preserve">the U.S. in </w:t>
      </w:r>
      <w:r w:rsidR="008145EE">
        <w:t>wind energy</w:t>
      </w:r>
      <w:r w:rsidR="00251193">
        <w:t xml:space="preserve"> production, and has more than 8000 MW of wind power capacity currently under construction</w:t>
      </w:r>
      <w:r>
        <w:t xml:space="preserve"> (</w:t>
      </w:r>
      <w:r w:rsidR="00C410E0" w:rsidRPr="00C410E0">
        <w:rPr>
          <w:i/>
        </w:rPr>
        <w:t>1</w:t>
      </w:r>
      <w:r>
        <w:t>). Texas’s</w:t>
      </w:r>
      <w:r w:rsidRPr="00101CC7">
        <w:t xml:space="preserve"> success</w:t>
      </w:r>
      <w:r>
        <w:t xml:space="preserve"> in installed wind power capacity</w:t>
      </w:r>
      <w:r w:rsidRPr="00101CC7">
        <w:t xml:space="preserve"> is partially attribut</w:t>
      </w:r>
      <w:r w:rsidR="00A6207F">
        <w:t>able</w:t>
      </w:r>
      <w:r w:rsidRPr="00101CC7">
        <w:t xml:space="preserve"> to the Renewable Portfolio Standard (RPS)</w:t>
      </w:r>
      <w:r w:rsidR="006B1AFB">
        <w:t xml:space="preserve"> (</w:t>
      </w:r>
      <w:r w:rsidR="006B1AFB" w:rsidRPr="00C410E0">
        <w:rPr>
          <w:i/>
        </w:rPr>
        <w:t>2</w:t>
      </w:r>
      <w:r w:rsidR="006B1AFB">
        <w:t>)</w:t>
      </w:r>
      <w:r w:rsidR="00A6207F">
        <w:t xml:space="preserve">. </w:t>
      </w:r>
      <w:r w:rsidRPr="00101CC7">
        <w:t xml:space="preserve">The </w:t>
      </w:r>
      <w:r w:rsidR="00A16624">
        <w:t xml:space="preserve">Texas legislature </w:t>
      </w:r>
      <w:r w:rsidRPr="00101CC7">
        <w:t xml:space="preserve">first introduced </w:t>
      </w:r>
      <w:r w:rsidR="00A16624">
        <w:t>the RPS</w:t>
      </w:r>
      <w:r w:rsidRPr="00101CC7">
        <w:t xml:space="preserve"> in 1999 under Senate Bill 7 to ensure continuous growth in the </w:t>
      </w:r>
      <w:r w:rsidR="00A16624">
        <w:t xml:space="preserve">state’s </w:t>
      </w:r>
      <w:r w:rsidRPr="00101CC7">
        <w:t>renewable energy generation</w:t>
      </w:r>
      <w:r w:rsidR="00A6207F">
        <w:t>,</w:t>
      </w:r>
      <w:r w:rsidRPr="00101CC7">
        <w:t xml:space="preserve"> despite the increasing competitiveness in the electricity market.</w:t>
      </w:r>
      <w:r>
        <w:t xml:space="preserve"> </w:t>
      </w:r>
      <w:r w:rsidRPr="00101CC7">
        <w:t>RPS mandated that electricity providers generate 2000 MW of additional renewable energy by 2009. This 10-year target was met in 6 years.</w:t>
      </w:r>
      <w:r>
        <w:t xml:space="preserve"> Then </w:t>
      </w:r>
      <w:r w:rsidRPr="00101CC7">
        <w:t xml:space="preserve">Senate </w:t>
      </w:r>
      <w:r>
        <w:t>Bill 20 was introduced in 2005, m</w:t>
      </w:r>
      <w:r w:rsidRPr="00101CC7">
        <w:t>andat</w:t>
      </w:r>
      <w:r>
        <w:t>ing</w:t>
      </w:r>
      <w:r w:rsidRPr="00101CC7">
        <w:t xml:space="preserve"> that </w:t>
      </w:r>
      <w:r w:rsidR="00A16624">
        <w:t xml:space="preserve">the </w:t>
      </w:r>
      <w:r w:rsidRPr="00101CC7">
        <w:t>state’s total renewable energy generation must reach 5880 MW and 10000 MW by 2015 and 2025</w:t>
      </w:r>
      <w:r w:rsidR="00A6207F">
        <w:t>,</w:t>
      </w:r>
      <w:r w:rsidRPr="00101CC7">
        <w:t xml:space="preserve"> respectively. </w:t>
      </w:r>
      <w:r w:rsidR="00A16624">
        <w:t>Since creation of</w:t>
      </w:r>
      <w:r w:rsidRPr="00101CC7">
        <w:t xml:space="preserve"> the RPS, </w:t>
      </w:r>
      <w:r w:rsidR="00A16624">
        <w:t xml:space="preserve">Texas </w:t>
      </w:r>
      <w:r w:rsidRPr="00101CC7">
        <w:t>wind power development has more than quadrupled</w:t>
      </w:r>
      <w:r w:rsidR="00A16624">
        <w:t>.</w:t>
      </w:r>
      <w:r w:rsidRPr="00101CC7">
        <w:t xml:space="preserve"> </w:t>
      </w:r>
      <w:r w:rsidR="00A16624">
        <w:t>B</w:t>
      </w:r>
      <w:r w:rsidRPr="00101CC7">
        <w:t xml:space="preserve">ecause of its competitive pricing, available federal tax incentives, and </w:t>
      </w:r>
      <w:r>
        <w:t xml:space="preserve">abundance of </w:t>
      </w:r>
      <w:proofErr w:type="spellStart"/>
      <w:r w:rsidR="00A16624">
        <w:t>capturable</w:t>
      </w:r>
      <w:proofErr w:type="spellEnd"/>
      <w:r w:rsidR="00A16624">
        <w:t xml:space="preserve"> wind capacity</w:t>
      </w:r>
      <w:r w:rsidRPr="00101CC7">
        <w:t>, wind power is expected to remain</w:t>
      </w:r>
      <w:r>
        <w:t xml:space="preserve"> competitive with coal-</w:t>
      </w:r>
      <w:r w:rsidRPr="00101CC7">
        <w:t>fired plants (</w:t>
      </w:r>
      <w:r w:rsidR="00C410E0" w:rsidRPr="00C410E0">
        <w:rPr>
          <w:i/>
        </w:rPr>
        <w:t>3</w:t>
      </w:r>
      <w:r w:rsidRPr="00101CC7">
        <w:t>).</w:t>
      </w:r>
      <w:r w:rsidR="006B1AFB">
        <w:t xml:space="preserve"> </w:t>
      </w:r>
      <w:r>
        <w:t xml:space="preserve">Another important </w:t>
      </w:r>
      <w:r w:rsidR="00A16624">
        <w:t>contributor</w:t>
      </w:r>
      <w:r>
        <w:t xml:space="preserve"> to the rapid expansion of </w:t>
      </w:r>
      <w:r w:rsidR="00A16624">
        <w:t xml:space="preserve">Texas </w:t>
      </w:r>
      <w:r>
        <w:t xml:space="preserve">wind power energy is the </w:t>
      </w:r>
      <w:r w:rsidR="00A16624">
        <w:t>state’s</w:t>
      </w:r>
      <w:r w:rsidRPr="00101CC7">
        <w:t xml:space="preserve"> plan for </w:t>
      </w:r>
      <w:r>
        <w:t xml:space="preserve">the installation of </w:t>
      </w:r>
      <w:r w:rsidRPr="00101CC7">
        <w:t>transmission</w:t>
      </w:r>
      <w:r>
        <w:t xml:space="preserve"> lines</w:t>
      </w:r>
      <w:r w:rsidRPr="00101CC7">
        <w:t xml:space="preserve"> (</w:t>
      </w:r>
      <w:r w:rsidR="00C410E0" w:rsidRPr="00C410E0">
        <w:rPr>
          <w:i/>
        </w:rPr>
        <w:t>4</w:t>
      </w:r>
      <w:r w:rsidRPr="00101CC7">
        <w:t>)</w:t>
      </w:r>
      <w:r>
        <w:t xml:space="preserve"> and laws </w:t>
      </w:r>
      <w:r w:rsidR="00A16624">
        <w:t xml:space="preserve">that </w:t>
      </w:r>
      <w:r>
        <w:t xml:space="preserve">make transmission </w:t>
      </w:r>
      <w:r w:rsidR="00A16624">
        <w:t xml:space="preserve">inexpensive </w:t>
      </w:r>
      <w:r>
        <w:t>for the developers of wind power energy</w:t>
      </w:r>
      <w:r w:rsidRPr="00101CC7">
        <w:t>. The Public Utility Commission</w:t>
      </w:r>
      <w:r w:rsidR="00A16624">
        <w:t xml:space="preserve"> (PUC)</w:t>
      </w:r>
      <w:r w:rsidRPr="00101CC7">
        <w:t xml:space="preserve"> of Texas identified the top 25 wind regions </w:t>
      </w:r>
      <w:r w:rsidR="00A16624">
        <w:t>and</w:t>
      </w:r>
      <w:r>
        <w:t xml:space="preserve"> </w:t>
      </w:r>
      <w:r w:rsidRPr="0041421D">
        <w:t>complete</w:t>
      </w:r>
      <w:r w:rsidR="00A16624">
        <w:t>d</w:t>
      </w:r>
      <w:r w:rsidRPr="0041421D">
        <w:t xml:space="preserve"> </w:t>
      </w:r>
      <w:r w:rsidRPr="00C65F89">
        <w:t>almost 3,600 circuit miles of new transmission lines</w:t>
      </w:r>
      <w:r w:rsidRPr="0041421D">
        <w:t xml:space="preserve"> by </w:t>
      </w:r>
      <w:r>
        <w:t>the end of</w:t>
      </w:r>
      <w:r w:rsidRPr="0041421D">
        <w:t xml:space="preserve"> 2013</w:t>
      </w:r>
      <w:r>
        <w:t>, connecting the Panhandle, Central West Texas, and Central Texas</w:t>
      </w:r>
      <w:r w:rsidRPr="0041421D">
        <w:t>.</w:t>
      </w:r>
      <w:r>
        <w:t xml:space="preserve"> </w:t>
      </w:r>
      <w:r w:rsidRPr="0041421D">
        <w:t>Most new wind far</w:t>
      </w:r>
      <w:r>
        <w:t>ms will likely locate according to this</w:t>
      </w:r>
      <w:r w:rsidRPr="0041421D">
        <w:t xml:space="preserve"> plan</w:t>
      </w:r>
      <w:r>
        <w:t xml:space="preserve">, since the developers are not required to make a significant investment in transmission. </w:t>
      </w:r>
    </w:p>
    <w:p w14:paraId="00E310C5" w14:textId="77777777" w:rsidR="000B5D11" w:rsidRDefault="00A6207F" w:rsidP="0067454F">
      <w:pPr>
        <w:ind w:firstLine="720"/>
        <w:jc w:val="both"/>
      </w:pPr>
      <w:r>
        <w:rPr>
          <w:bCs/>
          <w:color w:val="000000"/>
          <w:szCs w:val="24"/>
        </w:rPr>
        <w:t>The</w:t>
      </w:r>
      <w:r w:rsidR="00594611">
        <w:rPr>
          <w:bCs/>
          <w:color w:val="000000"/>
          <w:szCs w:val="24"/>
        </w:rPr>
        <w:t xml:space="preserve"> </w:t>
      </w:r>
      <w:r>
        <w:rPr>
          <w:bCs/>
          <w:color w:val="000000"/>
          <w:szCs w:val="24"/>
        </w:rPr>
        <w:t xml:space="preserve">rapid </w:t>
      </w:r>
      <w:r w:rsidR="00594611">
        <w:rPr>
          <w:bCs/>
          <w:color w:val="000000"/>
          <w:szCs w:val="24"/>
        </w:rPr>
        <w:t xml:space="preserve">growth of wind energy production </w:t>
      </w:r>
      <w:r>
        <w:rPr>
          <w:bCs/>
          <w:color w:val="000000"/>
          <w:szCs w:val="24"/>
        </w:rPr>
        <w:t xml:space="preserve">in Texas, however, </w:t>
      </w:r>
      <w:r w:rsidR="00594611">
        <w:rPr>
          <w:bCs/>
          <w:color w:val="000000"/>
          <w:szCs w:val="24"/>
        </w:rPr>
        <w:t xml:space="preserve">has </w:t>
      </w:r>
      <w:r w:rsidR="0063004B">
        <w:rPr>
          <w:bCs/>
          <w:color w:val="000000"/>
          <w:szCs w:val="24"/>
        </w:rPr>
        <w:t xml:space="preserve">created </w:t>
      </w:r>
      <w:r w:rsidR="00594611">
        <w:rPr>
          <w:bCs/>
          <w:color w:val="000000"/>
          <w:szCs w:val="24"/>
        </w:rPr>
        <w:t xml:space="preserve">a challenge for </w:t>
      </w:r>
      <w:r w:rsidR="0063004B">
        <w:rPr>
          <w:bCs/>
          <w:color w:val="000000"/>
          <w:szCs w:val="24"/>
        </w:rPr>
        <w:t>the roadway system</w:t>
      </w:r>
      <w:r w:rsidR="00594611">
        <w:rPr>
          <w:bCs/>
          <w:color w:val="000000"/>
          <w:szCs w:val="24"/>
        </w:rPr>
        <w:t xml:space="preserve">. </w:t>
      </w:r>
      <w:r w:rsidR="000B5D11" w:rsidRPr="00D965A5">
        <w:rPr>
          <w:szCs w:val="24"/>
        </w:rPr>
        <w:t>The construction of wind farms requires the transport of wind turbine components that create increased</w:t>
      </w:r>
      <w:r w:rsidR="003B5E42">
        <w:rPr>
          <w:szCs w:val="24"/>
        </w:rPr>
        <w:t xml:space="preserve"> and unexpected</w:t>
      </w:r>
      <w:r w:rsidR="000B5D11" w:rsidRPr="00D965A5">
        <w:rPr>
          <w:szCs w:val="24"/>
        </w:rPr>
        <w:t xml:space="preserve"> loads on rural roads and bridges</w:t>
      </w:r>
      <w:r w:rsidR="003553AF">
        <w:rPr>
          <w:szCs w:val="24"/>
        </w:rPr>
        <w:t>,</w:t>
      </w:r>
      <w:r w:rsidR="000B5D11" w:rsidRPr="00D965A5">
        <w:rPr>
          <w:szCs w:val="24"/>
        </w:rPr>
        <w:t xml:space="preserve"> </w:t>
      </w:r>
      <w:r w:rsidR="003553AF">
        <w:rPr>
          <w:szCs w:val="24"/>
        </w:rPr>
        <w:t>which</w:t>
      </w:r>
      <w:r w:rsidR="000B5D11" w:rsidRPr="00D965A5">
        <w:rPr>
          <w:szCs w:val="24"/>
        </w:rPr>
        <w:t xml:space="preserve"> are typically not designed for such loads. Thus, the continued and increasing construction of wind farms will result in a greater burden on the </w:t>
      </w:r>
      <w:r w:rsidR="003B5E42">
        <w:rPr>
          <w:szCs w:val="24"/>
        </w:rPr>
        <w:t xml:space="preserve">state’s </w:t>
      </w:r>
      <w:r w:rsidR="000B5D11" w:rsidRPr="00D965A5">
        <w:rPr>
          <w:szCs w:val="24"/>
        </w:rPr>
        <w:t>transportation infrastructure.</w:t>
      </w:r>
      <w:r w:rsidR="000B5D11" w:rsidRPr="00D8368D">
        <w:t xml:space="preserve"> </w:t>
      </w:r>
      <w:r w:rsidR="0063004B">
        <w:t>B</w:t>
      </w:r>
      <w:r w:rsidR="000B5D11" w:rsidRPr="00D965A5">
        <w:t xml:space="preserve">ridges, tunnels, tightly bending roads, signals, roadside signs, and markings are common </w:t>
      </w:r>
      <w:r w:rsidR="00102028">
        <w:t xml:space="preserve">navigation challenges </w:t>
      </w:r>
      <w:r w:rsidR="000B5D11" w:rsidRPr="00D965A5">
        <w:t xml:space="preserve">for </w:t>
      </w:r>
      <w:r w:rsidR="003B5E42">
        <w:t xml:space="preserve">the </w:t>
      </w:r>
      <w:r w:rsidR="000B5D11" w:rsidRPr="00D965A5">
        <w:t>truck</w:t>
      </w:r>
      <w:r w:rsidR="003B5E42">
        <w:t>s</w:t>
      </w:r>
      <w:r w:rsidR="000B5D11" w:rsidRPr="00D965A5">
        <w:t xml:space="preserve"> </w:t>
      </w:r>
      <w:r w:rsidR="003B5E42">
        <w:t xml:space="preserve">carrying </w:t>
      </w:r>
      <w:r w:rsidR="000B5D11" w:rsidRPr="00D965A5">
        <w:t>extra-large</w:t>
      </w:r>
      <w:r w:rsidR="00102028">
        <w:t xml:space="preserve"> oversize/overweight</w:t>
      </w:r>
      <w:r w:rsidR="00102028" w:rsidRPr="00D965A5">
        <w:t xml:space="preserve"> </w:t>
      </w:r>
      <w:r w:rsidR="00102028">
        <w:t>(OS/OW)</w:t>
      </w:r>
      <w:r w:rsidR="000B5D11" w:rsidRPr="00D965A5">
        <w:t xml:space="preserve"> loads</w:t>
      </w:r>
      <w:r w:rsidR="003B5E42">
        <w:t xml:space="preserve"> to remote wind farm sites</w:t>
      </w:r>
      <w:r w:rsidR="000B5D11" w:rsidRPr="00D965A5">
        <w:t xml:space="preserve">. </w:t>
      </w:r>
      <w:r w:rsidR="005E15E6">
        <w:t>Drivers</w:t>
      </w:r>
      <w:r w:rsidR="005E15E6" w:rsidRPr="00D965A5">
        <w:t xml:space="preserve"> of </w:t>
      </w:r>
      <w:r w:rsidR="005E15E6">
        <w:t>OS/OW</w:t>
      </w:r>
      <w:r w:rsidR="005E15E6" w:rsidRPr="00D965A5">
        <w:t xml:space="preserve"> loads cannot take the most direct route </w:t>
      </w:r>
      <w:r w:rsidR="005E15E6">
        <w:t xml:space="preserve">to their destinations </w:t>
      </w:r>
      <w:r w:rsidR="005E15E6" w:rsidRPr="00D965A5">
        <w:t xml:space="preserve">because of highway impediments, </w:t>
      </w:r>
      <w:r w:rsidR="00364703">
        <w:t>such as</w:t>
      </w:r>
      <w:r w:rsidR="005E15E6" w:rsidRPr="00D965A5">
        <w:t xml:space="preserve"> sharp turning radi</w:t>
      </w:r>
      <w:r w:rsidR="005E15E6">
        <w:t>i</w:t>
      </w:r>
      <w:r w:rsidR="005E15E6" w:rsidRPr="00D965A5">
        <w:t xml:space="preserve"> that cannot accommodate the load length or </w:t>
      </w:r>
      <w:r w:rsidR="005E15E6">
        <w:t xml:space="preserve">overpasses with insufficient </w:t>
      </w:r>
      <w:r w:rsidR="005E15E6" w:rsidRPr="00D965A5">
        <w:t xml:space="preserve">vertical clearance. </w:t>
      </w:r>
      <w:r w:rsidR="005E15E6">
        <w:t>The</w:t>
      </w:r>
      <w:r w:rsidR="005E15E6" w:rsidRPr="00D965A5">
        <w:t xml:space="preserve"> long blades, heavy nacelles, and huge tower section</w:t>
      </w:r>
      <w:r w:rsidR="005E15E6">
        <w:t xml:space="preserve">s are considered “super loads” </w:t>
      </w:r>
      <w:r w:rsidR="005E15E6" w:rsidRPr="00D965A5">
        <w:t>by transport authorities, so transporting them from manufactur</w:t>
      </w:r>
      <w:r w:rsidR="005E15E6">
        <w:t>ers</w:t>
      </w:r>
      <w:r w:rsidR="005E15E6" w:rsidRPr="00D965A5">
        <w:t xml:space="preserve"> to wind farms requires close cooperation between manufacturers, </w:t>
      </w:r>
      <w:r w:rsidR="005E15E6">
        <w:t>shippers</w:t>
      </w:r>
      <w:r w:rsidR="005E15E6" w:rsidRPr="00D965A5">
        <w:t xml:space="preserve">, state transport officials, and port authorities. Moving one wind turbine, with all the components involved, takes </w:t>
      </w:r>
      <w:r w:rsidR="005E15E6">
        <w:t>eight to ten</w:t>
      </w:r>
      <w:r w:rsidR="005E15E6" w:rsidRPr="00D965A5">
        <w:t xml:space="preserve"> trucks, most of which are specialized trailers</w:t>
      </w:r>
      <w:r w:rsidR="005E15E6">
        <w:t xml:space="preserve">, and requires OS/OW permits. </w:t>
      </w:r>
      <w:r w:rsidR="00102028">
        <w:t>At the same time, t</w:t>
      </w:r>
      <w:r w:rsidR="00A2203C">
        <w:t>h</w:t>
      </w:r>
      <w:r w:rsidR="003B5E42">
        <w:t>e</w:t>
      </w:r>
      <w:r w:rsidR="00A2203C">
        <w:t>s</w:t>
      </w:r>
      <w:r w:rsidR="003B5E42">
        <w:t>e</w:t>
      </w:r>
      <w:r w:rsidR="00A2203C">
        <w:t xml:space="preserve"> </w:t>
      </w:r>
      <w:r w:rsidR="003B5E42">
        <w:t xml:space="preserve">OS/OW </w:t>
      </w:r>
      <w:r w:rsidR="000B5D11" w:rsidRPr="00D965A5">
        <w:t>loads can damage</w:t>
      </w:r>
      <w:r w:rsidR="00364703">
        <w:t xml:space="preserve"> </w:t>
      </w:r>
      <w:r w:rsidR="003B5E42">
        <w:t>infrastructure elements,</w:t>
      </w:r>
      <w:r w:rsidR="000B5D11" w:rsidRPr="00D965A5">
        <w:t xml:space="preserve"> creat</w:t>
      </w:r>
      <w:r w:rsidR="003B5E42">
        <w:t>ing</w:t>
      </w:r>
      <w:r w:rsidR="000B5D11" w:rsidRPr="00D965A5">
        <w:t xml:space="preserve"> serious safety concerns for other </w:t>
      </w:r>
      <w:r w:rsidR="007C7440">
        <w:t>vehicles and drivers</w:t>
      </w:r>
      <w:r w:rsidR="007C41B6">
        <w:t xml:space="preserve"> as well as the need for expensive repairs</w:t>
      </w:r>
      <w:r w:rsidR="007C7440">
        <w:t xml:space="preserve">. </w:t>
      </w:r>
      <w:r w:rsidR="00A2203C">
        <w:t xml:space="preserve"> </w:t>
      </w:r>
    </w:p>
    <w:p w14:paraId="220708AB" w14:textId="77777777" w:rsidR="002634D8" w:rsidRPr="00A2203C" w:rsidRDefault="002634D8" w:rsidP="0067454F">
      <w:pPr>
        <w:ind w:firstLine="720"/>
        <w:jc w:val="both"/>
      </w:pPr>
      <w:r w:rsidRPr="00D965A5">
        <w:rPr>
          <w:bCs/>
          <w:color w:val="000000"/>
          <w:szCs w:val="24"/>
        </w:rPr>
        <w:t xml:space="preserve">Due to the steep costs of transporting components, </w:t>
      </w:r>
      <w:r w:rsidR="007C41B6">
        <w:rPr>
          <w:bCs/>
          <w:color w:val="000000"/>
          <w:szCs w:val="24"/>
        </w:rPr>
        <w:t xml:space="preserve">new </w:t>
      </w:r>
      <w:r w:rsidRPr="00D965A5">
        <w:rPr>
          <w:bCs/>
          <w:color w:val="000000"/>
          <w:szCs w:val="24"/>
        </w:rPr>
        <w:t xml:space="preserve">manufacturers </w:t>
      </w:r>
      <w:r w:rsidR="007C41B6">
        <w:rPr>
          <w:bCs/>
          <w:color w:val="000000"/>
          <w:szCs w:val="24"/>
        </w:rPr>
        <w:t>will</w:t>
      </w:r>
      <w:r w:rsidR="007C41B6" w:rsidRPr="00D965A5">
        <w:rPr>
          <w:bCs/>
          <w:color w:val="000000"/>
          <w:szCs w:val="24"/>
        </w:rPr>
        <w:t xml:space="preserve"> </w:t>
      </w:r>
      <w:r w:rsidRPr="00D965A5">
        <w:rPr>
          <w:bCs/>
          <w:color w:val="000000"/>
          <w:szCs w:val="24"/>
        </w:rPr>
        <w:t>set up their manufacturing plants as close as possible to wind farm locations</w:t>
      </w:r>
      <w:r w:rsidR="00BF2F40">
        <w:rPr>
          <w:bCs/>
          <w:color w:val="000000"/>
          <w:szCs w:val="24"/>
        </w:rPr>
        <w:t xml:space="preserve"> (where the wind is actually </w:t>
      </w:r>
      <w:r w:rsidR="00367F24" w:rsidRPr="00385A7F">
        <w:rPr>
          <w:bCs/>
          <w:color w:val="000000"/>
          <w:szCs w:val="24"/>
        </w:rPr>
        <w:t>harvested</w:t>
      </w:r>
      <w:r w:rsidR="00367F24">
        <w:rPr>
          <w:bCs/>
          <w:color w:val="000000"/>
          <w:szCs w:val="24"/>
        </w:rPr>
        <w:t xml:space="preserve"> </w:t>
      </w:r>
      <w:r w:rsidR="00BF2F40">
        <w:rPr>
          <w:bCs/>
          <w:color w:val="000000"/>
          <w:szCs w:val="24"/>
        </w:rPr>
        <w:t>and transformed into energy)</w:t>
      </w:r>
      <w:r w:rsidRPr="00D965A5">
        <w:rPr>
          <w:bCs/>
          <w:color w:val="000000"/>
          <w:szCs w:val="24"/>
        </w:rPr>
        <w:t>.</w:t>
      </w:r>
      <w:r>
        <w:t xml:space="preserve"> </w:t>
      </w:r>
      <w:r w:rsidRPr="00653D8E">
        <w:t>Many international manufacturers ship the</w:t>
      </w:r>
      <w:r w:rsidR="007C41B6">
        <w:t>ir</w:t>
      </w:r>
      <w:r w:rsidRPr="00653D8E">
        <w:t xml:space="preserve"> </w:t>
      </w:r>
      <w:r w:rsidR="007C41B6">
        <w:t xml:space="preserve">components </w:t>
      </w:r>
      <w:r w:rsidRPr="00653D8E">
        <w:t>to major Texas Gulf ports such as Houston and Corpus Christi</w:t>
      </w:r>
      <w:r w:rsidR="00750CEE">
        <w:t>, where the components begin journeys of sometimes hundreds of miles to remote wind farm sites</w:t>
      </w:r>
      <w:r w:rsidRPr="00653D8E">
        <w:t xml:space="preserve">. Wind turbine components also </w:t>
      </w:r>
      <w:r w:rsidR="007C41B6">
        <w:t>enter the state through</w:t>
      </w:r>
      <w:r w:rsidRPr="00653D8E">
        <w:t xml:space="preserve"> land entry points </w:t>
      </w:r>
      <w:r w:rsidR="007C41B6">
        <w:t>i</w:t>
      </w:r>
      <w:r w:rsidR="007C41B6" w:rsidRPr="00653D8E">
        <w:t xml:space="preserve">n </w:t>
      </w:r>
      <w:r w:rsidR="007C41B6">
        <w:t>either East or West Texas</w:t>
      </w:r>
      <w:r w:rsidRPr="00653D8E">
        <w:t>.</w:t>
      </w:r>
      <w:r>
        <w:t xml:space="preserve"> Many domestic manufacturers also use </w:t>
      </w:r>
      <w:r w:rsidR="006B708A">
        <w:t xml:space="preserve">the </w:t>
      </w:r>
      <w:r>
        <w:t xml:space="preserve">Texas road system as </w:t>
      </w:r>
      <w:r w:rsidR="007C41B6">
        <w:t xml:space="preserve">a </w:t>
      </w:r>
      <w:r>
        <w:t xml:space="preserve">throughway for cross-country traffic. Texas has to improve and maintain its road system to allow the transportation of increasingly larger and heavier loads related to wind </w:t>
      </w:r>
      <w:r w:rsidR="007066DD">
        <w:t>farm development</w:t>
      </w:r>
      <w:r>
        <w:t>.</w:t>
      </w:r>
    </w:p>
    <w:p w14:paraId="02E45D52" w14:textId="77777777" w:rsidR="000B5D11" w:rsidRDefault="000B5D11" w:rsidP="0067454F">
      <w:pPr>
        <w:autoSpaceDE w:val="0"/>
        <w:autoSpaceDN w:val="0"/>
        <w:adjustRightInd w:val="0"/>
        <w:ind w:firstLine="720"/>
        <w:jc w:val="both"/>
      </w:pPr>
      <w:r>
        <w:lastRenderedPageBreak/>
        <w:t xml:space="preserve">In </w:t>
      </w:r>
      <w:r w:rsidR="00367F24">
        <w:t>summary</w:t>
      </w:r>
      <w:r>
        <w:t>, prepar</w:t>
      </w:r>
      <w:r w:rsidR="00750CEE">
        <w:t>ing</w:t>
      </w:r>
      <w:r>
        <w:t xml:space="preserve"> </w:t>
      </w:r>
      <w:r w:rsidR="00750CEE">
        <w:t xml:space="preserve">the </w:t>
      </w:r>
      <w:r>
        <w:t xml:space="preserve">Texas transportation </w:t>
      </w:r>
      <w:r w:rsidR="00750CEE">
        <w:t xml:space="preserve">network </w:t>
      </w:r>
      <w:r>
        <w:t xml:space="preserve">for future </w:t>
      </w:r>
      <w:r w:rsidR="00750CEE">
        <w:t>wind farm</w:t>
      </w:r>
      <w:r>
        <w:t xml:space="preserve"> installation</w:t>
      </w:r>
      <w:r w:rsidR="006B708A">
        <w:t>s</w:t>
      </w:r>
      <w:r w:rsidR="00750CEE">
        <w:t xml:space="preserve"> is essential</w:t>
      </w:r>
      <w:r>
        <w:t xml:space="preserve">. </w:t>
      </w:r>
      <w:r w:rsidRPr="00D965A5">
        <w:rPr>
          <w:szCs w:val="24"/>
        </w:rPr>
        <w:t>Given the upward trend in wind energy production, the Texas Department of Transportation (</w:t>
      </w:r>
      <w:proofErr w:type="spellStart"/>
      <w:r w:rsidRPr="00D965A5">
        <w:rPr>
          <w:szCs w:val="24"/>
        </w:rPr>
        <w:t>TxDOT</w:t>
      </w:r>
      <w:proofErr w:type="spellEnd"/>
      <w:r w:rsidRPr="00D965A5">
        <w:rPr>
          <w:szCs w:val="24"/>
        </w:rPr>
        <w:t>) is plan</w:t>
      </w:r>
      <w:r w:rsidR="00730B69">
        <w:rPr>
          <w:szCs w:val="24"/>
        </w:rPr>
        <w:t>ning</w:t>
      </w:r>
      <w:r w:rsidRPr="00D965A5">
        <w:rPr>
          <w:szCs w:val="24"/>
        </w:rPr>
        <w:t xml:space="preserve"> for the impacts of future renewable energy projects on roads</w:t>
      </w:r>
      <w:r w:rsidR="00364703">
        <w:rPr>
          <w:szCs w:val="24"/>
        </w:rPr>
        <w:t>,</w:t>
      </w:r>
      <w:r w:rsidRPr="00D965A5">
        <w:rPr>
          <w:szCs w:val="24"/>
        </w:rPr>
        <w:t xml:space="preserve"> while facilitating the development of new renewable projects in and around Texas.</w:t>
      </w:r>
      <w:r w:rsidR="001F31FD">
        <w:rPr>
          <w:szCs w:val="24"/>
        </w:rPr>
        <w:t xml:space="preserve"> </w:t>
      </w:r>
      <w:r w:rsidRPr="00D965A5">
        <w:rPr>
          <w:szCs w:val="24"/>
        </w:rPr>
        <w:t>This paper discusses the development of a</w:t>
      </w:r>
      <w:r w:rsidR="00367F24">
        <w:rPr>
          <w:szCs w:val="24"/>
        </w:rPr>
        <w:t xml:space="preserve"> methodology and </w:t>
      </w:r>
      <w:r w:rsidR="00E34B38">
        <w:rPr>
          <w:szCs w:val="24"/>
        </w:rPr>
        <w:t xml:space="preserve">a </w:t>
      </w:r>
      <w:r w:rsidR="00367F24">
        <w:rPr>
          <w:szCs w:val="24"/>
        </w:rPr>
        <w:t>corresponding</w:t>
      </w:r>
      <w:r w:rsidRPr="00D965A5">
        <w:rPr>
          <w:szCs w:val="24"/>
        </w:rPr>
        <w:t xml:space="preserve"> operational planning tool that </w:t>
      </w:r>
      <w:proofErr w:type="spellStart"/>
      <w:r w:rsidR="00730B69">
        <w:rPr>
          <w:szCs w:val="24"/>
        </w:rPr>
        <w:t>TxDOT</w:t>
      </w:r>
      <w:proofErr w:type="spellEnd"/>
      <w:r w:rsidR="00730B69">
        <w:rPr>
          <w:szCs w:val="24"/>
        </w:rPr>
        <w:t xml:space="preserve"> </w:t>
      </w:r>
      <w:r w:rsidRPr="00D965A5">
        <w:rPr>
          <w:szCs w:val="24"/>
        </w:rPr>
        <w:t xml:space="preserve">can use to propose route plans for wind turbine components </w:t>
      </w:r>
      <w:r w:rsidR="00382734">
        <w:rPr>
          <w:szCs w:val="24"/>
        </w:rPr>
        <w:t>transported on</w:t>
      </w:r>
      <w:r w:rsidRPr="00D965A5">
        <w:rPr>
          <w:szCs w:val="24"/>
        </w:rPr>
        <w:t xml:space="preserve"> Texas</w:t>
      </w:r>
      <w:r w:rsidR="00382734">
        <w:rPr>
          <w:szCs w:val="24"/>
        </w:rPr>
        <w:t xml:space="preserve"> roadways</w:t>
      </w:r>
      <w:r w:rsidR="00D576C4">
        <w:rPr>
          <w:szCs w:val="24"/>
        </w:rPr>
        <w:t>,</w:t>
      </w:r>
      <w:r w:rsidRPr="00D965A5">
        <w:rPr>
          <w:szCs w:val="24"/>
        </w:rPr>
        <w:t xml:space="preserve"> develop recommendations for planning construction of new wind farms</w:t>
      </w:r>
      <w:r w:rsidR="00D576C4">
        <w:rPr>
          <w:szCs w:val="24"/>
        </w:rPr>
        <w:t>, and generate</w:t>
      </w:r>
      <w:r w:rsidRPr="00D965A5">
        <w:rPr>
          <w:szCs w:val="24"/>
        </w:rPr>
        <w:t xml:space="preserve"> </w:t>
      </w:r>
      <w:r w:rsidR="00730B69">
        <w:rPr>
          <w:szCs w:val="24"/>
        </w:rPr>
        <w:t xml:space="preserve">road </w:t>
      </w:r>
      <w:r w:rsidRPr="00D965A5">
        <w:rPr>
          <w:szCs w:val="24"/>
        </w:rPr>
        <w:t>maintenance strategies.</w:t>
      </w:r>
      <w:r>
        <w:rPr>
          <w:szCs w:val="24"/>
        </w:rPr>
        <w:t xml:space="preserve"> </w:t>
      </w:r>
      <w:r>
        <w:t>With a well</w:t>
      </w:r>
      <w:r w:rsidR="00D576C4">
        <w:t>-designed</w:t>
      </w:r>
      <w:r>
        <w:t xml:space="preserve"> plan for </w:t>
      </w:r>
      <w:r w:rsidR="00D576C4">
        <w:t>transporting</w:t>
      </w:r>
      <w:r>
        <w:t xml:space="preserve"> wind turbine components across Texas roads, truck drivers </w:t>
      </w:r>
      <w:r w:rsidR="00215273">
        <w:t xml:space="preserve">can </w:t>
      </w:r>
      <w:r w:rsidR="00D576C4">
        <w:t>use</w:t>
      </w:r>
      <w:r>
        <w:t xml:space="preserve"> easier and more direct routes, wind energy developers </w:t>
      </w:r>
      <w:r w:rsidR="00215273">
        <w:t xml:space="preserve">can </w:t>
      </w:r>
      <w:r>
        <w:t xml:space="preserve">reduce costs, </w:t>
      </w:r>
      <w:r w:rsidR="00212FFA">
        <w:t xml:space="preserve">and </w:t>
      </w:r>
      <w:r>
        <w:t xml:space="preserve">state authorities </w:t>
      </w:r>
      <w:r w:rsidR="00215273">
        <w:t xml:space="preserve">can </w:t>
      </w:r>
      <w:r>
        <w:t xml:space="preserve">reduce investment in </w:t>
      </w:r>
      <w:r w:rsidR="00215273">
        <w:t xml:space="preserve">road </w:t>
      </w:r>
      <w:r>
        <w:t xml:space="preserve">maintenance and </w:t>
      </w:r>
      <w:r w:rsidR="00215273">
        <w:t>repair</w:t>
      </w:r>
      <w:r>
        <w:t xml:space="preserve">, </w:t>
      </w:r>
      <w:r w:rsidR="00971EC8">
        <w:t xml:space="preserve">while the entire state </w:t>
      </w:r>
      <w:r w:rsidR="006E2D8B">
        <w:t>and country</w:t>
      </w:r>
      <w:r w:rsidR="00E34B38">
        <w:t xml:space="preserve"> </w:t>
      </w:r>
      <w:r w:rsidR="00364703">
        <w:t xml:space="preserve">can </w:t>
      </w:r>
      <w:r w:rsidR="00385A7F">
        <w:t>stand to gain</w:t>
      </w:r>
      <w:r w:rsidR="00971EC8">
        <w:t xml:space="preserve"> from</w:t>
      </w:r>
      <w:r w:rsidR="00CD1A71">
        <w:t xml:space="preserve"> </w:t>
      </w:r>
      <w:r w:rsidR="006E2D8B">
        <w:t xml:space="preserve">the </w:t>
      </w:r>
      <w:r w:rsidR="00CD1A71">
        <w:t>use of</w:t>
      </w:r>
      <w:r>
        <w:t xml:space="preserve"> this promising renewable energy source.</w:t>
      </w:r>
    </w:p>
    <w:p w14:paraId="0DDCBF90" w14:textId="77777777" w:rsidR="00620F92" w:rsidRDefault="00620F92" w:rsidP="0067454F">
      <w:pPr>
        <w:jc w:val="both"/>
        <w:rPr>
          <w:b/>
        </w:rPr>
      </w:pPr>
    </w:p>
    <w:p w14:paraId="68ADABF3" w14:textId="77777777" w:rsidR="000B5D11" w:rsidRPr="00620F92" w:rsidRDefault="00620F92" w:rsidP="0067454F">
      <w:pPr>
        <w:jc w:val="both"/>
        <w:rPr>
          <w:szCs w:val="24"/>
        </w:rPr>
      </w:pPr>
      <w:r w:rsidRPr="00620F92">
        <w:rPr>
          <w:b/>
        </w:rPr>
        <w:t>1.2. Antecedents</w:t>
      </w:r>
    </w:p>
    <w:p w14:paraId="69AA7E0D" w14:textId="356BA15B" w:rsidR="00252999" w:rsidRPr="00C6557C" w:rsidRDefault="00221A95" w:rsidP="0067454F">
      <w:pPr>
        <w:jc w:val="both"/>
      </w:pPr>
      <w:r>
        <w:t>Wind</w:t>
      </w:r>
      <w:r w:rsidR="00252999">
        <w:t xml:space="preserve"> </w:t>
      </w:r>
      <w:r>
        <w:t>t</w:t>
      </w:r>
      <w:r w:rsidR="00C32E96">
        <w:t>urbine</w:t>
      </w:r>
      <w:r w:rsidR="00252999" w:rsidRPr="00F54BC1">
        <w:t xml:space="preserve"> sizes have increased significantly over the past decades, for both technical and economic reasons. According to aerodynamic properties, the power output of a wind turbine is proportional to the rotor diameter and the wind speed. As </w:t>
      </w:r>
      <w:r w:rsidR="006A073E">
        <w:t xml:space="preserve">the </w:t>
      </w:r>
      <w:r w:rsidR="00252999" w:rsidRPr="00F54BC1">
        <w:t xml:space="preserve">distance from the ground increases, wind </w:t>
      </w:r>
      <w:r w:rsidR="006A073E">
        <w:t>becomes</w:t>
      </w:r>
      <w:r w:rsidR="00252999" w:rsidRPr="00F54BC1">
        <w:t xml:space="preserve"> less turbulent and reaches higher speeds, which means that both an increase in the rotor diameter and in the tower height can increase the energy yield of the turbine. From </w:t>
      </w:r>
      <w:r w:rsidR="00814658">
        <w:t>a</w:t>
      </w:r>
      <w:r w:rsidR="00814658" w:rsidRPr="00F54BC1">
        <w:t xml:space="preserve"> </w:t>
      </w:r>
      <w:r w:rsidR="00252999" w:rsidRPr="00F54BC1">
        <w:t>cost perspective, bigger components generate more energy and also have a lower ratio of installation and maintenance cost per unit of energy produced, allowing for economies of scale and faster return on investment</w:t>
      </w:r>
      <w:r w:rsidR="00F010F6">
        <w:t xml:space="preserve"> (see </w:t>
      </w:r>
      <w:r w:rsidR="00C410E0" w:rsidRPr="00C410E0">
        <w:rPr>
          <w:i/>
        </w:rPr>
        <w:t>5</w:t>
      </w:r>
      <w:r w:rsidR="00252999" w:rsidRPr="00F54BC1">
        <w:t>)</w:t>
      </w:r>
      <w:r w:rsidR="00F010F6">
        <w:t xml:space="preserve">. </w:t>
      </w:r>
      <w:r w:rsidR="00396E83">
        <w:t>Even at their current size, however, transporti</w:t>
      </w:r>
      <w:r w:rsidR="004B04D8">
        <w:t>ng the already OS/OW components is a complicated endeavor for manufacturers and transportation authorities.</w:t>
      </w:r>
    </w:p>
    <w:p w14:paraId="4CB2A91D" w14:textId="4205AA7F" w:rsidR="00252999" w:rsidRPr="00C6557C" w:rsidRDefault="00252999" w:rsidP="0067454F">
      <w:pPr>
        <w:ind w:firstLine="720"/>
        <w:jc w:val="both"/>
        <w:rPr>
          <w:szCs w:val="24"/>
        </w:rPr>
      </w:pPr>
      <w:r w:rsidRPr="00385A7F">
        <w:t>A major impedime</w:t>
      </w:r>
      <w:r w:rsidR="005E07C3" w:rsidRPr="00385A7F">
        <w:t>nt in the process of shipping OS/OW</w:t>
      </w:r>
      <w:r w:rsidRPr="00385A7F">
        <w:t xml:space="preserve"> loads is the distribution of permits from state agenc</w:t>
      </w:r>
      <w:r w:rsidR="004B04D8" w:rsidRPr="00385A7F">
        <w:t>ies</w:t>
      </w:r>
      <w:r w:rsidRPr="00385A7F">
        <w:t xml:space="preserve">. </w:t>
      </w:r>
      <w:r w:rsidR="00EE7259" w:rsidRPr="00385A7F">
        <w:t xml:space="preserve">In Texas, the Department of Motor Vehicles (DMV) issues OS/OW permits. </w:t>
      </w:r>
      <w:r w:rsidRPr="00385A7F">
        <w:t xml:space="preserve">Systems without automated processes cause delays due to the </w:t>
      </w:r>
      <w:r w:rsidR="004B04D8" w:rsidRPr="00385A7F">
        <w:t>labor-</w:t>
      </w:r>
      <w:r w:rsidRPr="00385A7F">
        <w:t xml:space="preserve">intensive nature of the work, which </w:t>
      </w:r>
      <w:r w:rsidR="004B04D8" w:rsidRPr="00385A7F">
        <w:t>is further subject to</w:t>
      </w:r>
      <w:r w:rsidR="005E07C3" w:rsidRPr="00385A7F">
        <w:t xml:space="preserve"> human error. </w:t>
      </w:r>
      <w:r w:rsidRPr="00385A7F">
        <w:t xml:space="preserve">Advanced </w:t>
      </w:r>
      <w:r w:rsidR="004B04D8" w:rsidRPr="00385A7F">
        <w:t xml:space="preserve">routing and permitting systems </w:t>
      </w:r>
      <w:r w:rsidRPr="00385A7F">
        <w:t>(ARPS) have become increasingly popular as they increase efficiency and allow a</w:t>
      </w:r>
      <w:r w:rsidR="005E07C3" w:rsidRPr="00385A7F">
        <w:t xml:space="preserve"> route to be issued at any time. </w:t>
      </w:r>
      <w:r w:rsidR="004B04D8" w:rsidRPr="00385A7F">
        <w:t>Many</w:t>
      </w:r>
      <w:r w:rsidRPr="00385A7F">
        <w:t xml:space="preserve"> states (</w:t>
      </w:r>
      <w:r w:rsidR="00C410E0" w:rsidRPr="00C410E0">
        <w:rPr>
          <w:i/>
        </w:rPr>
        <w:t>6</w:t>
      </w:r>
      <w:r w:rsidRPr="00385A7F">
        <w:t xml:space="preserve">) </w:t>
      </w:r>
      <w:r w:rsidR="004B04D8" w:rsidRPr="00385A7F">
        <w:t xml:space="preserve">now </w:t>
      </w:r>
      <w:r w:rsidRPr="00385A7F">
        <w:t xml:space="preserve">employ ARPS to issue </w:t>
      </w:r>
      <w:r w:rsidR="004B04D8" w:rsidRPr="00385A7F">
        <w:t xml:space="preserve">the </w:t>
      </w:r>
      <w:r w:rsidRPr="00385A7F">
        <w:t xml:space="preserve">OS/OW permits </w:t>
      </w:r>
      <w:r w:rsidR="006E4F05" w:rsidRPr="00385A7F">
        <w:t xml:space="preserve">and routes </w:t>
      </w:r>
      <w:r w:rsidRPr="00385A7F">
        <w:t xml:space="preserve">needed for transporting wind turbine components. The majority of automated systems use a variety of </w:t>
      </w:r>
      <w:r w:rsidR="00EE7259" w:rsidRPr="00385A7F">
        <w:t xml:space="preserve">regularly updated </w:t>
      </w:r>
      <w:r w:rsidRPr="00385A7F">
        <w:t xml:space="preserve">GIS maps </w:t>
      </w:r>
      <w:r w:rsidR="00EE7259" w:rsidRPr="00385A7F">
        <w:t>containing</w:t>
      </w:r>
      <w:r w:rsidRPr="00385A7F">
        <w:t xml:space="preserve"> pertinent </w:t>
      </w:r>
      <w:r w:rsidR="00EE7259" w:rsidRPr="00385A7F">
        <w:t>route characteristics</w:t>
      </w:r>
      <w:r w:rsidRPr="00385A7F">
        <w:t>, such as bridge height</w:t>
      </w:r>
      <w:r w:rsidR="00030681">
        <w:t>, turning radii at intersections, and roadway lane widths</w:t>
      </w:r>
      <w:r w:rsidRPr="00385A7F">
        <w:t xml:space="preserve">. Currently </w:t>
      </w:r>
      <w:r w:rsidR="00EE7259" w:rsidRPr="00385A7F">
        <w:t xml:space="preserve">the </w:t>
      </w:r>
      <w:r w:rsidRPr="00385A7F">
        <w:t>Texas</w:t>
      </w:r>
      <w:r w:rsidR="00EE7259" w:rsidRPr="00385A7F">
        <w:t xml:space="preserve"> </w:t>
      </w:r>
      <w:r w:rsidRPr="00385A7F">
        <w:rPr>
          <w:szCs w:val="24"/>
        </w:rPr>
        <w:t>DMV uses a web-based, integrated, GIS-based mapping system with real-time restriction management (</w:t>
      </w:r>
      <w:r w:rsidR="00351FBA" w:rsidRPr="00385A7F">
        <w:rPr>
          <w:szCs w:val="24"/>
        </w:rPr>
        <w:t>referred to as</w:t>
      </w:r>
      <w:r w:rsidR="004B6D96" w:rsidRPr="00385A7F">
        <w:rPr>
          <w:szCs w:val="24"/>
        </w:rPr>
        <w:t xml:space="preserve"> </w:t>
      </w:r>
      <w:r w:rsidR="007350FC">
        <w:rPr>
          <w:szCs w:val="24"/>
        </w:rPr>
        <w:t>t</w:t>
      </w:r>
      <w:r w:rsidR="004B6D96" w:rsidRPr="00385A7F">
        <w:rPr>
          <w:szCs w:val="24"/>
        </w:rPr>
        <w:t>he Texas Permitting &amp; Routing Optimization System or</w:t>
      </w:r>
      <w:r w:rsidR="00351FBA" w:rsidRPr="00385A7F">
        <w:rPr>
          <w:szCs w:val="24"/>
        </w:rPr>
        <w:t xml:space="preserve"> </w:t>
      </w:r>
      <w:proofErr w:type="spellStart"/>
      <w:r w:rsidR="005E07C3" w:rsidRPr="00385A7F">
        <w:rPr>
          <w:szCs w:val="24"/>
        </w:rPr>
        <w:t>TxPROS</w:t>
      </w:r>
      <w:proofErr w:type="spellEnd"/>
      <w:r w:rsidRPr="00385A7F">
        <w:rPr>
          <w:szCs w:val="24"/>
        </w:rPr>
        <w:t xml:space="preserve">). </w:t>
      </w:r>
      <w:r w:rsidR="006E4F05" w:rsidRPr="00385A7F">
        <w:rPr>
          <w:szCs w:val="24"/>
        </w:rPr>
        <w:t xml:space="preserve">Shippers can log in to </w:t>
      </w:r>
      <w:proofErr w:type="spellStart"/>
      <w:r w:rsidR="006E4F05" w:rsidRPr="00385A7F">
        <w:rPr>
          <w:szCs w:val="24"/>
        </w:rPr>
        <w:t>TxPROS</w:t>
      </w:r>
      <w:proofErr w:type="spellEnd"/>
      <w:r w:rsidR="006E4F05" w:rsidRPr="00385A7F">
        <w:rPr>
          <w:szCs w:val="24"/>
        </w:rPr>
        <w:t xml:space="preserve"> and use the “Permit Wizard” to determine the permit type and route required for a particular vehicle or load. Route plan formulation has</w:t>
      </w:r>
      <w:r w:rsidRPr="00385A7F">
        <w:t xml:space="preserve"> various levels of automation, with most based on an algorithm. If a route is self-chosen and any section of the route fails, the </w:t>
      </w:r>
      <w:r w:rsidR="006E4F05" w:rsidRPr="00385A7F">
        <w:t xml:space="preserve">permit </w:t>
      </w:r>
      <w:r w:rsidRPr="00385A7F">
        <w:t>request will not go through</w:t>
      </w:r>
      <w:r w:rsidR="006E4F05" w:rsidRPr="00385A7F">
        <w:t xml:space="preserve">—either </w:t>
      </w:r>
      <w:r w:rsidRPr="00385A7F">
        <w:t xml:space="preserve">the program </w:t>
      </w:r>
      <w:r w:rsidR="006E4F05" w:rsidRPr="00385A7F">
        <w:t>will</w:t>
      </w:r>
      <w:r w:rsidRPr="00385A7F">
        <w:t xml:space="preserve"> terminate or the algorithm will correct the route and explain</w:t>
      </w:r>
      <w:r w:rsidR="005E07C3" w:rsidRPr="00385A7F">
        <w:t xml:space="preserve"> the reason behind the reroute.</w:t>
      </w:r>
      <w:r w:rsidR="00F95C85" w:rsidRPr="00385A7F">
        <w:t xml:space="preserve"> </w:t>
      </w:r>
    </w:p>
    <w:p w14:paraId="7D0EA90E" w14:textId="72F292D4" w:rsidR="00AE1BB8" w:rsidRDefault="00252999" w:rsidP="00D64DD3">
      <w:pPr>
        <w:ind w:firstLine="720"/>
        <w:jc w:val="both"/>
      </w:pPr>
      <w:r>
        <w:t xml:space="preserve">A significant challenge in the transportation of wind turbine components is the recognition of </w:t>
      </w:r>
      <w:r w:rsidRPr="00164B66">
        <w:rPr>
          <w:i/>
        </w:rPr>
        <w:t>critical points</w:t>
      </w:r>
      <w:r>
        <w:t xml:space="preserve"> in the route</w:t>
      </w:r>
      <w:r w:rsidR="00164B66">
        <w:t xml:space="preserve">—locations </w:t>
      </w:r>
      <w:r>
        <w:t>where the roadway or bridge</w:t>
      </w:r>
      <w:r w:rsidR="00164B66">
        <w:t xml:space="preserve"> characteristics cannot </w:t>
      </w:r>
      <w:r>
        <w:t xml:space="preserve">allow the caravan to pass. Critical points will cause user-input routes to be rejected if they are found. </w:t>
      </w:r>
      <w:r w:rsidR="00D81599">
        <w:t>Such i</w:t>
      </w:r>
      <w:r w:rsidRPr="008A689B">
        <w:t xml:space="preserve">nfrastructure constraints </w:t>
      </w:r>
      <w:r w:rsidR="00D81599">
        <w:t>include</w:t>
      </w:r>
      <w:r w:rsidRPr="008A689B">
        <w:t xml:space="preserve"> low bridge clearances, </w:t>
      </w:r>
      <w:r w:rsidR="00D81599">
        <w:t xml:space="preserve">narrow </w:t>
      </w:r>
      <w:r w:rsidRPr="008A689B">
        <w:t xml:space="preserve">bridge widths, </w:t>
      </w:r>
      <w:r w:rsidR="00D81599">
        <w:t xml:space="preserve">and </w:t>
      </w:r>
      <w:r w:rsidRPr="008A689B">
        <w:t xml:space="preserve">pavement </w:t>
      </w:r>
      <w:r w:rsidR="00743612">
        <w:t>strength issues</w:t>
      </w:r>
      <w:r w:rsidRPr="008A689B">
        <w:t xml:space="preserve">, </w:t>
      </w:r>
      <w:r w:rsidR="00D81599">
        <w:t>among other factors</w:t>
      </w:r>
      <w:r w:rsidRPr="008A689B">
        <w:t>.</w:t>
      </w:r>
      <w:r>
        <w:t xml:space="preserve"> </w:t>
      </w:r>
      <w:r w:rsidR="00743612">
        <w:t>T</w:t>
      </w:r>
      <w:r>
        <w:t>o improve the efficiency of route planning</w:t>
      </w:r>
      <w:r w:rsidR="00743612">
        <w:t>,</w:t>
      </w:r>
      <w:r>
        <w:t xml:space="preserve"> research initiatives have develop</w:t>
      </w:r>
      <w:r w:rsidR="00743612">
        <w:t>ed</w:t>
      </w:r>
      <w:r>
        <w:t xml:space="preserve"> software and applications </w:t>
      </w:r>
      <w:r w:rsidR="00743612">
        <w:t xml:space="preserve">to </w:t>
      </w:r>
      <w:r>
        <w:t>detect critical points along route plan</w:t>
      </w:r>
      <w:r w:rsidR="00743612">
        <w:t>s</w:t>
      </w:r>
      <w:r>
        <w:t>.</w:t>
      </w:r>
      <w:r w:rsidR="008A689B">
        <w:t xml:space="preserve"> </w:t>
      </w:r>
      <w:r>
        <w:t xml:space="preserve">As </w:t>
      </w:r>
      <w:r w:rsidR="007F5EA6">
        <w:t>established</w:t>
      </w:r>
      <w:r w:rsidR="00743612">
        <w:t>,</w:t>
      </w:r>
      <w:r>
        <w:t xml:space="preserve"> the </w:t>
      </w:r>
      <w:r w:rsidR="00743612">
        <w:t xml:space="preserve">increasing </w:t>
      </w:r>
      <w:r>
        <w:t xml:space="preserve">number of wind farms in Texas </w:t>
      </w:r>
      <w:r w:rsidR="00743612">
        <w:t>necessitates increased transportation of</w:t>
      </w:r>
      <w:r>
        <w:t xml:space="preserve"> </w:t>
      </w:r>
      <w:r>
        <w:lastRenderedPageBreak/>
        <w:t>wind turbine components</w:t>
      </w:r>
      <w:r w:rsidR="007F5EA6">
        <w:t>, which will</w:t>
      </w:r>
      <w:r w:rsidR="00743612">
        <w:t xml:space="preserve"> </w:t>
      </w:r>
      <w:r w:rsidR="007F5EA6">
        <w:t>cause early</w:t>
      </w:r>
      <w:r w:rsidR="00743612">
        <w:t xml:space="preserve"> </w:t>
      </w:r>
      <w:r>
        <w:t xml:space="preserve">deterioration of roads and bridges. </w:t>
      </w:r>
      <w:r w:rsidR="00F95C85">
        <w:t xml:space="preserve">Tracking the wind-farm-related damage to infrastructure is essential for the health of the transportation economy, as OS/OW permit fee structures are designed in part to recoup the repair and maintenance expenditures. </w:t>
      </w:r>
      <w:r w:rsidR="0029371C" w:rsidRPr="00FE3312">
        <w:t xml:space="preserve">Banerjee </w:t>
      </w:r>
      <w:r w:rsidR="0029371C" w:rsidRPr="00AE1BB8">
        <w:rPr>
          <w:i/>
        </w:rPr>
        <w:t>et al</w:t>
      </w:r>
      <w:r w:rsidR="0029371C" w:rsidRPr="00CD46E2">
        <w:t xml:space="preserve">. </w:t>
      </w:r>
      <w:r w:rsidR="0029371C">
        <w:t>(</w:t>
      </w:r>
      <w:r w:rsidR="00C410E0" w:rsidRPr="00C410E0">
        <w:rPr>
          <w:i/>
        </w:rPr>
        <w:t>7</w:t>
      </w:r>
      <w:r w:rsidR="0029371C">
        <w:t xml:space="preserve">) </w:t>
      </w:r>
      <w:r w:rsidRPr="005E07C3">
        <w:t xml:space="preserve">proposed a methodology to quantify the damage done to Texas’s highway infrastructure during the movement of wind turbine </w:t>
      </w:r>
      <w:r w:rsidRPr="00FE3312">
        <w:t>components.</w:t>
      </w:r>
      <w:r>
        <w:t xml:space="preserve"> </w:t>
      </w:r>
      <w:r w:rsidR="00FE2036">
        <w:t xml:space="preserve">Another Texas-specific tool implemented a GIS environment to map the routes that OS/OW loads took across Texas to estimate the cost of damage to the highway </w:t>
      </w:r>
      <w:r w:rsidR="00FE2036" w:rsidRPr="00FE3312">
        <w:t>infrastructure (</w:t>
      </w:r>
      <w:r w:rsidR="00C410E0" w:rsidRPr="00C410E0">
        <w:rPr>
          <w:i/>
        </w:rPr>
        <w:t>6</w:t>
      </w:r>
      <w:r w:rsidR="00FE2036">
        <w:t xml:space="preserve">). </w:t>
      </w:r>
      <w:r w:rsidR="0029371C">
        <w:t xml:space="preserve">Similarly, a </w:t>
      </w:r>
      <w:r>
        <w:t xml:space="preserve">tool available </w:t>
      </w:r>
      <w:r w:rsidR="00FE2036">
        <w:t>for</w:t>
      </w:r>
      <w:r>
        <w:t xml:space="preserve"> Minnesota</w:t>
      </w:r>
      <w:r w:rsidR="00FE2036">
        <w:t xml:space="preserve"> roads</w:t>
      </w:r>
      <w:r>
        <w:t xml:space="preserve"> is capable of estimating the monetary value of the </w:t>
      </w:r>
      <w:r w:rsidR="0029371C">
        <w:t xml:space="preserve">turbine-related </w:t>
      </w:r>
      <w:r w:rsidR="00FE2036">
        <w:t xml:space="preserve">pavement </w:t>
      </w:r>
      <w:r>
        <w:t xml:space="preserve">damage </w:t>
      </w:r>
      <w:r w:rsidR="0029371C">
        <w:t>using an Excel</w:t>
      </w:r>
      <w:r>
        <w:t xml:space="preserve"> platform </w:t>
      </w:r>
      <w:r w:rsidRPr="00FE3312">
        <w:t>(</w:t>
      </w:r>
      <w:r w:rsidR="00C410E0" w:rsidRPr="00C410E0">
        <w:rPr>
          <w:i/>
        </w:rPr>
        <w:t>8</w:t>
      </w:r>
      <w:r w:rsidRPr="00FE3312">
        <w:t>).</w:t>
      </w:r>
      <w:r>
        <w:t xml:space="preserve"> </w:t>
      </w:r>
    </w:p>
    <w:p w14:paraId="36787107" w14:textId="77777777" w:rsidR="00620F92" w:rsidRDefault="00620F92" w:rsidP="0067454F">
      <w:pPr>
        <w:ind w:firstLine="720"/>
        <w:jc w:val="both"/>
      </w:pPr>
    </w:p>
    <w:p w14:paraId="4594E572" w14:textId="77777777" w:rsidR="00620F92" w:rsidRPr="00620F92" w:rsidRDefault="00620F92" w:rsidP="0067454F">
      <w:pPr>
        <w:jc w:val="both"/>
        <w:rPr>
          <w:b/>
        </w:rPr>
      </w:pPr>
      <w:r w:rsidRPr="00620F92">
        <w:rPr>
          <w:b/>
        </w:rPr>
        <w:t>1.3. The</w:t>
      </w:r>
      <w:r w:rsidR="0067454F">
        <w:rPr>
          <w:b/>
        </w:rPr>
        <w:t xml:space="preserve"> C</w:t>
      </w:r>
      <w:r w:rsidRPr="00620F92">
        <w:rPr>
          <w:b/>
        </w:rPr>
        <w:t>urrent</w:t>
      </w:r>
      <w:r w:rsidR="0067454F">
        <w:rPr>
          <w:b/>
        </w:rPr>
        <w:t xml:space="preserve"> P</w:t>
      </w:r>
      <w:r w:rsidRPr="00620F92">
        <w:rPr>
          <w:b/>
        </w:rPr>
        <w:t>aper</w:t>
      </w:r>
    </w:p>
    <w:p w14:paraId="7C332053" w14:textId="63EF47DA" w:rsidR="00183D20" w:rsidRDefault="00252999" w:rsidP="0067454F">
      <w:pPr>
        <w:autoSpaceDE w:val="0"/>
        <w:autoSpaceDN w:val="0"/>
        <w:adjustRightInd w:val="0"/>
        <w:jc w:val="both"/>
      </w:pPr>
      <w:r>
        <w:t xml:space="preserve">The </w:t>
      </w:r>
      <w:r w:rsidR="00620F92">
        <w:t xml:space="preserve">methodology and associated </w:t>
      </w:r>
      <w:r w:rsidR="00FE3312">
        <w:t xml:space="preserve">tool presented in this paper </w:t>
      </w:r>
      <w:r>
        <w:t>come at a critical time in the wind industry</w:t>
      </w:r>
      <w:r w:rsidR="00FE2036">
        <w:t xml:space="preserve">, as </w:t>
      </w:r>
      <w:r w:rsidR="00620F92">
        <w:t xml:space="preserve">they </w:t>
      </w:r>
      <w:r>
        <w:t>provide a number of highly valued services that further optimiz</w:t>
      </w:r>
      <w:r w:rsidR="00FE2036">
        <w:t>e</w:t>
      </w:r>
      <w:r>
        <w:t xml:space="preserve"> wind turbine transport.</w:t>
      </w:r>
      <w:r w:rsidR="00326EA8">
        <w:t xml:space="preserve"> Previous tools focus on tour planning given an origin/destination pair; they</w:t>
      </w:r>
      <w:r w:rsidR="0059403B">
        <w:t xml:space="preserve"> are operational tools that</w:t>
      </w:r>
      <w:r w:rsidR="00326EA8">
        <w:t xml:space="preserve"> provide, given truck and load dimensions, the best route</w:t>
      </w:r>
      <w:r w:rsidR="0059403B">
        <w:t xml:space="preserve"> </w:t>
      </w:r>
      <w:r w:rsidR="00364703">
        <w:t xml:space="preserve">solely </w:t>
      </w:r>
      <w:r w:rsidR="0059403B">
        <w:t>in terms of distance. The tool we are presenting in the current paper contributes in two ways: (1)</w:t>
      </w:r>
      <w:r w:rsidR="00243C06">
        <w:t xml:space="preserve"> </w:t>
      </w:r>
      <w:proofErr w:type="gramStart"/>
      <w:r w:rsidR="00243C06">
        <w:t>It</w:t>
      </w:r>
      <w:proofErr w:type="gramEnd"/>
      <w:r w:rsidR="00DC15E7">
        <w:t xml:space="preserve"> improves upon route planning not only </w:t>
      </w:r>
      <w:r w:rsidR="00243C06">
        <w:t>in terms of</w:t>
      </w:r>
      <w:r w:rsidR="00DC15E7">
        <w:t xml:space="preserve"> distance, but also considering </w:t>
      </w:r>
      <w:r w:rsidR="00243C06">
        <w:t xml:space="preserve">the </w:t>
      </w:r>
      <w:r w:rsidR="00DC15E7" w:rsidRPr="00364703">
        <w:rPr>
          <w:u w:val="single"/>
        </w:rPr>
        <w:t>number of turns</w:t>
      </w:r>
      <w:r w:rsidR="00DC15E7">
        <w:t xml:space="preserve"> and </w:t>
      </w:r>
      <w:r w:rsidR="00DC15E7" w:rsidRPr="00364703">
        <w:rPr>
          <w:u w:val="single"/>
        </w:rPr>
        <w:t>pavement damage</w:t>
      </w:r>
      <w:r w:rsidR="00DC15E7">
        <w:t>.</w:t>
      </w:r>
      <w:r w:rsidR="004B6D96">
        <w:t xml:space="preserve"> Making a turn is a challenge when transporting turbine blades and tower sections, </w:t>
      </w:r>
      <w:r w:rsidR="001A618E">
        <w:t>which are</w:t>
      </w:r>
      <w:r w:rsidR="004B6D96">
        <w:t xml:space="preserve"> sometimes </w:t>
      </w:r>
      <w:r w:rsidR="00837B6E">
        <w:t>more than</w:t>
      </w:r>
      <w:r w:rsidR="004B6D96">
        <w:t xml:space="preserve"> </w:t>
      </w:r>
      <w:r w:rsidR="00837B6E">
        <w:t>10</w:t>
      </w:r>
      <w:r w:rsidR="002119EE">
        <w:t>0</w:t>
      </w:r>
      <w:r w:rsidR="004B6D96">
        <w:t xml:space="preserve"> feet long. Usually, r</w:t>
      </w:r>
      <w:r w:rsidR="004B6D96" w:rsidRPr="004B6D96">
        <w:t xml:space="preserve">outes must be scouted by an advance driver looking for sharp turns and obstructions </w:t>
      </w:r>
      <w:r w:rsidR="00364703">
        <w:t>such as</w:t>
      </w:r>
      <w:r w:rsidR="004B6D96" w:rsidRPr="004B6D96">
        <w:t xml:space="preserve"> stop signs that might need to be temporarily taken down. The trucks themselves are </w:t>
      </w:r>
      <w:r w:rsidR="002119EE">
        <w:t>complex</w:t>
      </w:r>
      <w:r w:rsidR="00243C06">
        <w:t>:</w:t>
      </w:r>
      <w:r w:rsidR="004B6D96" w:rsidRPr="004B6D96">
        <w:t xml:space="preserve"> a trail</w:t>
      </w:r>
      <w:r w:rsidR="002119EE">
        <w:t>er with an independent back end</w:t>
      </w:r>
      <w:r w:rsidR="004B6D96" w:rsidRPr="004B6D96">
        <w:t xml:space="preserve"> </w:t>
      </w:r>
      <w:r w:rsidR="00243C06">
        <w:t xml:space="preserve">is </w:t>
      </w:r>
      <w:r w:rsidR="004B6D96" w:rsidRPr="004B6D96">
        <w:t>controlled remotely from a chase vehicle to allow the truck driver to make 90-degree turns</w:t>
      </w:r>
      <w:r w:rsidR="002119EE">
        <w:t>, and each turn means several minutes of delay</w:t>
      </w:r>
      <w:r w:rsidR="004B6D96" w:rsidRPr="004B6D96">
        <w:t>.</w:t>
      </w:r>
      <w:r w:rsidR="00647FF1">
        <w:t xml:space="preserve"> In addition, the</w:t>
      </w:r>
      <w:r w:rsidR="00647FF1" w:rsidRPr="00647FF1">
        <w:t xml:space="preserve"> </w:t>
      </w:r>
      <w:r w:rsidR="00647FF1">
        <w:t>heavy loads of wind turbine components cause</w:t>
      </w:r>
      <w:r w:rsidR="00647FF1" w:rsidRPr="00647FF1">
        <w:t xml:space="preserve"> </w:t>
      </w:r>
      <w:r w:rsidR="00647FF1">
        <w:t xml:space="preserve">significant </w:t>
      </w:r>
      <w:r w:rsidR="00647FF1" w:rsidRPr="00647FF1">
        <w:t>road deterioration</w:t>
      </w:r>
      <w:r w:rsidR="00647FF1">
        <w:t>, shortening</w:t>
      </w:r>
      <w:r w:rsidR="00647FF1" w:rsidRPr="00647FF1">
        <w:t xml:space="preserve"> the original life expectancy</w:t>
      </w:r>
      <w:r w:rsidR="00647FF1">
        <w:t xml:space="preserve"> of pavement</w:t>
      </w:r>
      <w:r w:rsidR="00647FF1" w:rsidRPr="00647FF1">
        <w:t xml:space="preserve"> (</w:t>
      </w:r>
      <w:r w:rsidR="00C410E0" w:rsidRPr="00C410E0">
        <w:rPr>
          <w:i/>
        </w:rPr>
        <w:t>7</w:t>
      </w:r>
      <w:r w:rsidR="00647FF1" w:rsidRPr="00647FF1">
        <w:t>)</w:t>
      </w:r>
      <w:r w:rsidR="00647FF1">
        <w:t xml:space="preserve"> and forcing authorities to invest in road repair instead of </w:t>
      </w:r>
      <w:r w:rsidR="00243C06">
        <w:t xml:space="preserve">in </w:t>
      </w:r>
      <w:r w:rsidR="00647FF1">
        <w:t>transportation infrastructure improvement</w:t>
      </w:r>
      <w:r w:rsidR="00647FF1" w:rsidRPr="00647FF1">
        <w:t xml:space="preserve">. </w:t>
      </w:r>
      <w:r w:rsidR="002119EE">
        <w:t xml:space="preserve">(2) Our methodology and related tool </w:t>
      </w:r>
      <w:r w:rsidR="00364703">
        <w:t xml:space="preserve">also </w:t>
      </w:r>
      <w:r w:rsidR="002119EE">
        <w:t>go beyond route planning</w:t>
      </w:r>
      <w:r w:rsidR="00364703">
        <w:t xml:space="preserve">, and collectively represent a multi-faceted planning system that </w:t>
      </w:r>
      <w:r w:rsidR="00E36457">
        <w:t xml:space="preserve">can predict what transportation infrastructure will be needed based on </w:t>
      </w:r>
      <w:r w:rsidR="002C1150">
        <w:t xml:space="preserve">our </w:t>
      </w:r>
      <w:r w:rsidR="00364703">
        <w:t xml:space="preserve">systematically </w:t>
      </w:r>
      <w:r w:rsidR="002C1150">
        <w:t xml:space="preserve">researched </w:t>
      </w:r>
      <w:r w:rsidR="00E36457">
        <w:t>predictions o</w:t>
      </w:r>
      <w:r w:rsidR="0038303E">
        <w:t>f</w:t>
      </w:r>
      <w:r w:rsidR="00E36457">
        <w:t xml:space="preserve"> wind energy growth. </w:t>
      </w:r>
      <w:r w:rsidR="0038303E">
        <w:t>I</w:t>
      </w:r>
      <w:r w:rsidR="00AC2DFD">
        <w:t xml:space="preserve">n the process of adding </w:t>
      </w:r>
      <w:r w:rsidR="0038303E">
        <w:t>these predictive components</w:t>
      </w:r>
      <w:r w:rsidR="00AC2DFD">
        <w:t xml:space="preserve">, we also </w:t>
      </w:r>
      <w:r w:rsidR="002C1150">
        <w:t>include</w:t>
      </w:r>
      <w:r w:rsidR="00AC2DFD">
        <w:t xml:space="preserve"> the capability </w:t>
      </w:r>
      <w:r w:rsidR="002C1150">
        <w:t xml:space="preserve">for </w:t>
      </w:r>
      <w:r w:rsidR="00AC2DFD">
        <w:t>perform</w:t>
      </w:r>
      <w:r w:rsidR="002C1150">
        <w:t>ing</w:t>
      </w:r>
      <w:r w:rsidR="00AC2DFD">
        <w:t xml:space="preserve"> “what-if” analysis. For example, the methodology and associated tool can be used to </w:t>
      </w:r>
      <w:r w:rsidR="00364703">
        <w:t xml:space="preserve">(a) </w:t>
      </w:r>
      <w:r w:rsidR="00AC2DFD">
        <w:t xml:space="preserve">determine </w:t>
      </w:r>
      <w:r w:rsidR="002C1150">
        <w:t>the exact locations and types of</w:t>
      </w:r>
      <w:r w:rsidR="00AC2DFD">
        <w:t xml:space="preserve"> </w:t>
      </w:r>
      <w:r w:rsidR="001A6D59">
        <w:t>road</w:t>
      </w:r>
      <w:r w:rsidR="00AC2DFD">
        <w:t xml:space="preserve"> infrastructure </w:t>
      </w:r>
      <w:r w:rsidR="002C1150">
        <w:t>improvements that would most</w:t>
      </w:r>
      <w:r w:rsidR="00AC2DFD">
        <w:t xml:space="preserve"> improve the routing of wind turbine components, </w:t>
      </w:r>
      <w:r w:rsidR="00364703">
        <w:t xml:space="preserve">(b) </w:t>
      </w:r>
      <w:r w:rsidR="00AC2DFD">
        <w:t xml:space="preserve">identify how the </w:t>
      </w:r>
      <w:r w:rsidR="008416F2">
        <w:t xml:space="preserve">continually </w:t>
      </w:r>
      <w:r w:rsidR="00AC2DFD">
        <w:t>changing</w:t>
      </w:r>
      <w:r w:rsidR="008416F2">
        <w:t xml:space="preserve"> technology of wind turbines will impact transportation planning, </w:t>
      </w:r>
      <w:r w:rsidR="00364703">
        <w:t xml:space="preserve">(c) </w:t>
      </w:r>
      <w:r w:rsidR="008416F2">
        <w:t xml:space="preserve">determine the best </w:t>
      </w:r>
      <w:r w:rsidR="00B93F19">
        <w:t>locations</w:t>
      </w:r>
      <w:r w:rsidR="008416F2">
        <w:t xml:space="preserve"> to install a wind turbine manufactur</w:t>
      </w:r>
      <w:r w:rsidR="00BC644A">
        <w:t>ing</w:t>
      </w:r>
      <w:r w:rsidR="008416F2">
        <w:t xml:space="preserve"> plant, </w:t>
      </w:r>
      <w:r w:rsidR="00364703">
        <w:t xml:space="preserve">(d) </w:t>
      </w:r>
      <w:r w:rsidR="008416F2">
        <w:t>analyze how the country</w:t>
      </w:r>
      <w:r w:rsidR="00B93F19">
        <w:t>’s</w:t>
      </w:r>
      <w:r w:rsidR="008416F2">
        <w:t xml:space="preserve"> economic growth could </w:t>
      </w:r>
      <w:r w:rsidR="00BC644A">
        <w:t>influence</w:t>
      </w:r>
      <w:r w:rsidR="008416F2">
        <w:t xml:space="preserve"> </w:t>
      </w:r>
      <w:r w:rsidR="00B93F19">
        <w:t>wind energy</w:t>
      </w:r>
      <w:r w:rsidR="008416F2">
        <w:t xml:space="preserve"> production </w:t>
      </w:r>
      <w:r w:rsidR="00B93F19">
        <w:t>trends</w:t>
      </w:r>
      <w:r w:rsidR="008416F2">
        <w:t xml:space="preserve"> and the related transportation of components,</w:t>
      </w:r>
      <w:r w:rsidR="00364703">
        <w:t xml:space="preserve"> (e) </w:t>
      </w:r>
      <w:r w:rsidR="00C178D5">
        <w:t xml:space="preserve">identify the best location for new </w:t>
      </w:r>
      <w:r w:rsidR="006B133F">
        <w:t xml:space="preserve">electric </w:t>
      </w:r>
      <w:r w:rsidR="00C178D5">
        <w:t>transmission lines</w:t>
      </w:r>
      <w:r w:rsidR="006B133F">
        <w:t xml:space="preserve"> specific to wind power energy</w:t>
      </w:r>
      <w:r w:rsidR="00C178D5">
        <w:t xml:space="preserve">, </w:t>
      </w:r>
      <w:r w:rsidR="008416F2" w:rsidRPr="001A6D59">
        <w:t xml:space="preserve">and </w:t>
      </w:r>
      <w:r w:rsidR="00364703">
        <w:t xml:space="preserve">(f) </w:t>
      </w:r>
      <w:r w:rsidR="001A6D59" w:rsidRPr="001A6D59">
        <w:t>evaluate</w:t>
      </w:r>
      <w:r w:rsidR="001A6D59">
        <w:t xml:space="preserve"> what kind of improvements can be made to port</w:t>
      </w:r>
      <w:r w:rsidR="00BC644A">
        <w:t>-adjacent</w:t>
      </w:r>
      <w:r w:rsidR="001A6D59">
        <w:t xml:space="preserve"> </w:t>
      </w:r>
      <w:r w:rsidR="00BC644A">
        <w:t>freight corridors and general infrastructure</w:t>
      </w:r>
      <w:r w:rsidR="001A6D59">
        <w:t xml:space="preserve"> to optimize the path between </w:t>
      </w:r>
      <w:r w:rsidR="00364703">
        <w:t xml:space="preserve">the locations where </w:t>
      </w:r>
      <w:r w:rsidR="001A6D59">
        <w:t xml:space="preserve">wind turbine components </w:t>
      </w:r>
      <w:r w:rsidR="00364703">
        <w:t xml:space="preserve">are imported into </w:t>
      </w:r>
      <w:r w:rsidR="001A6D59">
        <w:t xml:space="preserve">and their </w:t>
      </w:r>
      <w:r w:rsidR="000F5664">
        <w:t xml:space="preserve">inland </w:t>
      </w:r>
      <w:r w:rsidR="001A6D59">
        <w:t>destinations</w:t>
      </w:r>
      <w:r w:rsidR="008416F2" w:rsidRPr="001A6D59">
        <w:t>.</w:t>
      </w:r>
      <w:r w:rsidR="008416F2">
        <w:t xml:space="preserve"> In summary, the methodology and associated tool can be used </w:t>
      </w:r>
      <w:r w:rsidR="00F2384C">
        <w:t xml:space="preserve">not only </w:t>
      </w:r>
      <w:r w:rsidR="008416F2">
        <w:t xml:space="preserve">by </w:t>
      </w:r>
      <w:r w:rsidR="00F2384C">
        <w:t>shipp</w:t>
      </w:r>
      <w:r w:rsidR="008416F2" w:rsidRPr="008416F2">
        <w:t xml:space="preserve">ers that want to </w:t>
      </w:r>
      <w:r w:rsidR="00F2384C">
        <w:t>create</w:t>
      </w:r>
      <w:r w:rsidR="008416F2" w:rsidRPr="008416F2">
        <w:t xml:space="preserve"> the best route</w:t>
      </w:r>
      <w:r w:rsidR="00F2384C">
        <w:t>s</w:t>
      </w:r>
      <w:r w:rsidR="008416F2" w:rsidRPr="008416F2">
        <w:t xml:space="preserve"> </w:t>
      </w:r>
      <w:r w:rsidR="00F2384C">
        <w:t>for</w:t>
      </w:r>
      <w:r w:rsidR="008416F2">
        <w:t xml:space="preserve"> their needs and preferences, </w:t>
      </w:r>
      <w:r w:rsidR="00C01AD1">
        <w:t xml:space="preserve">or </w:t>
      </w:r>
      <w:r w:rsidR="00E46C50">
        <w:t xml:space="preserve">by </w:t>
      </w:r>
      <w:r w:rsidR="00C01AD1">
        <w:t xml:space="preserve">transportation agencies looking to strategize infrastructure repair and construction, </w:t>
      </w:r>
      <w:r w:rsidR="008416F2">
        <w:t xml:space="preserve">but also </w:t>
      </w:r>
      <w:r w:rsidR="00E46C50">
        <w:t>by</w:t>
      </w:r>
      <w:r w:rsidR="00C01AD1">
        <w:t xml:space="preserve"> any public or private entity</w:t>
      </w:r>
      <w:r w:rsidR="008416F2">
        <w:t xml:space="preserve"> that wants </w:t>
      </w:r>
      <w:r w:rsidR="00E81E8A">
        <w:t>to optimize planning</w:t>
      </w:r>
      <w:r w:rsidR="001924EE">
        <w:t xml:space="preserve"> </w:t>
      </w:r>
      <w:r w:rsidR="00E81E8A">
        <w:t>o</w:t>
      </w:r>
      <w:r w:rsidR="001924EE">
        <w:t xml:space="preserve">f </w:t>
      </w:r>
      <w:r w:rsidR="00E81E8A">
        <w:t>wind energy projects</w:t>
      </w:r>
      <w:r w:rsidR="00F2384C">
        <w:t xml:space="preserve"> </w:t>
      </w:r>
      <w:r w:rsidR="001924EE">
        <w:t>at the statewide level</w:t>
      </w:r>
      <w:r w:rsidR="008416F2">
        <w:t>.</w:t>
      </w:r>
      <w:r w:rsidR="00E81E8A">
        <w:t xml:space="preserve"> </w:t>
      </w:r>
    </w:p>
    <w:p w14:paraId="506C0F28" w14:textId="77777777" w:rsidR="00251193" w:rsidRDefault="00251193" w:rsidP="0067454F">
      <w:pPr>
        <w:pStyle w:val="Heading1"/>
        <w:spacing w:line="240" w:lineRule="auto"/>
      </w:pPr>
    </w:p>
    <w:p w14:paraId="5C8E46E0" w14:textId="77777777" w:rsidR="006531AE" w:rsidRDefault="00620F92" w:rsidP="00C6569B">
      <w:pPr>
        <w:pStyle w:val="Heading1"/>
        <w:keepNext/>
        <w:keepLines/>
        <w:spacing w:line="240" w:lineRule="auto"/>
      </w:pPr>
      <w:r>
        <w:lastRenderedPageBreak/>
        <w:t>2</w:t>
      </w:r>
      <w:r w:rsidR="006531AE" w:rsidRPr="00F13B58">
        <w:t xml:space="preserve">. </w:t>
      </w:r>
      <w:r w:rsidR="007654B2">
        <w:t xml:space="preserve">METHODOLOGY AND </w:t>
      </w:r>
      <w:r w:rsidR="00BB2498">
        <w:t>TOOL DEVELOPMENT</w:t>
      </w:r>
    </w:p>
    <w:p w14:paraId="5941D4F1" w14:textId="77777777" w:rsidR="009F7965" w:rsidRDefault="0098546C" w:rsidP="00C6569B">
      <w:pPr>
        <w:keepNext/>
        <w:keepLines/>
        <w:jc w:val="both"/>
      </w:pPr>
      <w:r>
        <w:t xml:space="preserve">One of the key elements of our methodology is a routing tool that </w:t>
      </w:r>
      <w:r w:rsidR="002E0533">
        <w:t>can</w:t>
      </w:r>
      <w:r>
        <w:t xml:space="preserve"> help us to plan the future </w:t>
      </w:r>
      <w:r w:rsidR="00CE38E9">
        <w:t>of wind turbine</w:t>
      </w:r>
      <w:r w:rsidR="002E0533">
        <w:t xml:space="preserve"> components</w:t>
      </w:r>
      <w:r>
        <w:t xml:space="preserve"> transportation. </w:t>
      </w:r>
      <w:r w:rsidR="00BE4A98" w:rsidRPr="00BE4A98">
        <w:t>We developed a tool that can map out a route</w:t>
      </w:r>
      <w:r w:rsidR="00FE3312">
        <w:t xml:space="preserve"> between desired origin and destination points</w:t>
      </w:r>
      <w:r w:rsidR="00BE4A98" w:rsidRPr="00BE4A98">
        <w:t xml:space="preserve"> given certain characteristics, such as the size and load weight of a truck. The tool create</w:t>
      </w:r>
      <w:r w:rsidR="0027215E">
        <w:t>s</w:t>
      </w:r>
      <w:r w:rsidR="00BE4A98" w:rsidRPr="00BE4A98">
        <w:t xml:space="preserve"> a route by optimizing the travel distance, number of turns, and potential pavement damage, while checking restrictions due to bridge clearances</w:t>
      </w:r>
      <w:r w:rsidR="00BE4A98">
        <w:t>, postings, and pavement conditions.</w:t>
      </w:r>
      <w:r w:rsidR="007038B3">
        <w:t xml:space="preserve"> The tool was created in </w:t>
      </w:r>
      <w:proofErr w:type="spellStart"/>
      <w:r w:rsidR="007038B3">
        <w:t>TransCAD</w:t>
      </w:r>
      <w:proofErr w:type="spellEnd"/>
      <w:r w:rsidR="007038B3">
        <w:t xml:space="preserve"> and works as a </w:t>
      </w:r>
      <w:proofErr w:type="spellStart"/>
      <w:r w:rsidR="007038B3">
        <w:t>TransCAD</w:t>
      </w:r>
      <w:proofErr w:type="spellEnd"/>
      <w:r w:rsidR="007038B3">
        <w:t xml:space="preserve"> add-in</w:t>
      </w:r>
      <w:r>
        <w:t>.</w:t>
      </w:r>
      <w:r w:rsidR="00FE3312">
        <w:t xml:space="preserve"> </w:t>
      </w:r>
    </w:p>
    <w:p w14:paraId="4D930C06" w14:textId="77777777" w:rsidR="00364703" w:rsidRDefault="00364703" w:rsidP="0067454F">
      <w:pPr>
        <w:jc w:val="both"/>
      </w:pPr>
    </w:p>
    <w:p w14:paraId="1D41204B" w14:textId="77777777" w:rsidR="009F7965" w:rsidRPr="00192386" w:rsidRDefault="00620F92" w:rsidP="0067454F">
      <w:pPr>
        <w:pStyle w:val="Heading2"/>
        <w:spacing w:line="240" w:lineRule="auto"/>
      </w:pPr>
      <w:r>
        <w:t>2</w:t>
      </w:r>
      <w:r w:rsidR="009F7965" w:rsidRPr="00192386">
        <w:t xml:space="preserve">.1. Data </w:t>
      </w:r>
      <w:r w:rsidR="009F17CC" w:rsidRPr="00192386">
        <w:t>Sources</w:t>
      </w:r>
    </w:p>
    <w:p w14:paraId="6680961D" w14:textId="77777777" w:rsidR="009F7965" w:rsidRDefault="00BE4A98" w:rsidP="0067454F">
      <w:pPr>
        <w:jc w:val="both"/>
      </w:pPr>
      <w:r w:rsidRPr="00BE4A98">
        <w:t xml:space="preserve">We used four different datasets to create our </w:t>
      </w:r>
      <w:proofErr w:type="spellStart"/>
      <w:r w:rsidRPr="00BE4A98">
        <w:t>TransCAD</w:t>
      </w:r>
      <w:proofErr w:type="spellEnd"/>
      <w:r w:rsidRPr="00BE4A98">
        <w:t xml:space="preserve"> network: a map of the Texas road system</w:t>
      </w:r>
      <w:r w:rsidR="0019219D">
        <w:t xml:space="preserve">, </w:t>
      </w:r>
      <w:r w:rsidRPr="00BE4A98">
        <w:t xml:space="preserve">bridge characteristics, </w:t>
      </w:r>
      <w:r w:rsidR="0019219D" w:rsidRPr="00BE4A98">
        <w:t xml:space="preserve">critical vertical clearance data, </w:t>
      </w:r>
      <w:r w:rsidRPr="00BE4A98">
        <w:t xml:space="preserve">and pavement characteristics. </w:t>
      </w:r>
    </w:p>
    <w:p w14:paraId="6E0BD191" w14:textId="77777777" w:rsidR="009F7965" w:rsidRDefault="009F7965" w:rsidP="0067454F">
      <w:pPr>
        <w:jc w:val="both"/>
      </w:pPr>
    </w:p>
    <w:p w14:paraId="56738B41" w14:textId="77777777" w:rsidR="009F7965" w:rsidRPr="00192386" w:rsidRDefault="00620F92" w:rsidP="0067454F">
      <w:pPr>
        <w:pStyle w:val="Heading3"/>
        <w:spacing w:line="240" w:lineRule="auto"/>
      </w:pPr>
      <w:r>
        <w:t>2</w:t>
      </w:r>
      <w:r w:rsidR="009F7965" w:rsidRPr="00192386">
        <w:t>.1.1. Road Network</w:t>
      </w:r>
    </w:p>
    <w:p w14:paraId="29B225E4" w14:textId="77777777" w:rsidR="00BE4A98" w:rsidRDefault="00BE4A98" w:rsidP="0067454F">
      <w:pPr>
        <w:jc w:val="both"/>
      </w:pPr>
      <w:r>
        <w:t>The road network was extracted from the Texas Statewide Analysis Model (SAM) Version 3 developed by Alliance Transportation Group, Inc.</w:t>
      </w:r>
      <w:r w:rsidR="00AD3109">
        <w:t>,</w:t>
      </w:r>
      <w:r>
        <w:t xml:space="preserve"> for </w:t>
      </w:r>
      <w:proofErr w:type="spellStart"/>
      <w:r>
        <w:t>TxDOT</w:t>
      </w:r>
      <w:proofErr w:type="spellEnd"/>
      <w:r>
        <w:t xml:space="preserve">. SAM is the primary tool for evaluating large intercity transportation projects throughout Texas. Although SAM has several functionalities, we are using only its network. After we disabled rail and air routes (thus removing them from the map), we used the SAM network as a base for our </w:t>
      </w:r>
      <w:proofErr w:type="spellStart"/>
      <w:r>
        <w:t>TransCAD</w:t>
      </w:r>
      <w:proofErr w:type="spellEnd"/>
      <w:r>
        <w:t xml:space="preserve"> network.</w:t>
      </w:r>
    </w:p>
    <w:p w14:paraId="3264572C" w14:textId="77777777" w:rsidR="00AE1BB8" w:rsidRDefault="00AE1BB8" w:rsidP="0067454F">
      <w:pPr>
        <w:ind w:firstLine="720"/>
        <w:jc w:val="both"/>
      </w:pPr>
    </w:p>
    <w:p w14:paraId="4E71076E" w14:textId="77777777" w:rsidR="00BE4A98" w:rsidRPr="009F7965" w:rsidRDefault="00620F92" w:rsidP="0067454F">
      <w:pPr>
        <w:pStyle w:val="Heading3"/>
        <w:spacing w:line="240" w:lineRule="auto"/>
      </w:pPr>
      <w:r>
        <w:t>2</w:t>
      </w:r>
      <w:r w:rsidR="009F7965" w:rsidRPr="009F7965">
        <w:t>.1</w:t>
      </w:r>
      <w:r w:rsidR="00BE4A98" w:rsidRPr="009F7965">
        <w:t>.</w:t>
      </w:r>
      <w:r w:rsidR="0019219D">
        <w:t>2</w:t>
      </w:r>
      <w:r w:rsidR="0019219D" w:rsidRPr="009F7965">
        <w:t xml:space="preserve"> </w:t>
      </w:r>
      <w:r w:rsidR="00BE4A98" w:rsidRPr="009F7965">
        <w:t>Bridge Data</w:t>
      </w:r>
    </w:p>
    <w:p w14:paraId="6136D5A2" w14:textId="77777777" w:rsidR="00BE4A98" w:rsidRDefault="00BE4A98" w:rsidP="0067454F">
      <w:pPr>
        <w:jc w:val="both"/>
      </w:pPr>
      <w:r>
        <w:t>The bridge data</w:t>
      </w:r>
      <w:r w:rsidR="00AD3109">
        <w:t>set</w:t>
      </w:r>
      <w:r w:rsidR="00251193">
        <w:t xml:space="preserve">, obtained from </w:t>
      </w:r>
      <w:proofErr w:type="spellStart"/>
      <w:r w:rsidR="00251193">
        <w:t>TxDOT</w:t>
      </w:r>
      <w:proofErr w:type="spellEnd"/>
      <w:r w:rsidR="00251193">
        <w:t>,</w:t>
      </w:r>
      <w:r w:rsidR="00AD3109">
        <w:t xml:space="preserve"> </w:t>
      </w:r>
      <w:r>
        <w:t xml:space="preserve">includes detailed information about </w:t>
      </w:r>
      <w:r w:rsidR="00AD3109">
        <w:t xml:space="preserve">Texas </w:t>
      </w:r>
      <w:r>
        <w:t>highway</w:t>
      </w:r>
      <w:r w:rsidR="00AA1393">
        <w:t xml:space="preserve"> bridges</w:t>
      </w:r>
      <w:r w:rsidR="00AD3109">
        <w:t>, providing</w:t>
      </w:r>
      <w:r w:rsidR="00251193">
        <w:t xml:space="preserve"> information on bridge location (latitude/longitude),</w:t>
      </w:r>
      <w:r>
        <w:t xml:space="preserve"> vertical clearance heights, </w:t>
      </w:r>
      <w:r w:rsidR="00251193">
        <w:t xml:space="preserve">structural </w:t>
      </w:r>
      <w:r>
        <w:t xml:space="preserve">characteristics contributing to an overall bridge condition rating, and the maximum allowable legal loads on the bridge. </w:t>
      </w:r>
      <w:r w:rsidR="00251193">
        <w:t>The l</w:t>
      </w:r>
      <w:r>
        <w:t xml:space="preserve">atitude and longitude were used to locate the bridges </w:t>
      </w:r>
      <w:r w:rsidR="00251193">
        <w:t xml:space="preserve">geographically </w:t>
      </w:r>
      <w:r>
        <w:t xml:space="preserve">in the </w:t>
      </w:r>
      <w:proofErr w:type="spellStart"/>
      <w:r>
        <w:t>TransCAD</w:t>
      </w:r>
      <w:proofErr w:type="spellEnd"/>
      <w:r>
        <w:t xml:space="preserve"> map</w:t>
      </w:r>
      <w:r w:rsidR="00AA1393">
        <w:t xml:space="preserve">. </w:t>
      </w:r>
      <w:r>
        <w:t>The maximum load allowed can take one of the following values (in tons): 10, 15, 20, 25, or 100 (we assigned a high value to bridges that do not impose weight limitations, such as those records corresponding to routes that run “</w:t>
      </w:r>
      <w:r w:rsidR="002C469A">
        <w:t>under</w:t>
      </w:r>
      <w:r>
        <w:t xml:space="preserve">” </w:t>
      </w:r>
      <w:r w:rsidR="00FB4199">
        <w:t xml:space="preserve">a </w:t>
      </w:r>
      <w:r>
        <w:t xml:space="preserve">structure). </w:t>
      </w:r>
    </w:p>
    <w:p w14:paraId="0FAE9D6B" w14:textId="77777777" w:rsidR="00A925BE" w:rsidRDefault="00A925BE" w:rsidP="0067454F">
      <w:pPr>
        <w:jc w:val="both"/>
      </w:pPr>
    </w:p>
    <w:p w14:paraId="38D9C51F" w14:textId="77777777" w:rsidR="0019219D" w:rsidRPr="009F7965" w:rsidRDefault="00620F92" w:rsidP="00CD46E2">
      <w:pPr>
        <w:pStyle w:val="Heading3"/>
        <w:keepNext/>
        <w:keepLines/>
        <w:spacing w:line="240" w:lineRule="auto"/>
      </w:pPr>
      <w:r>
        <w:t>2</w:t>
      </w:r>
      <w:r w:rsidR="0019219D" w:rsidRPr="009F7965">
        <w:t>.1</w:t>
      </w:r>
      <w:r w:rsidR="0019219D">
        <w:t>.3 Vertical Clearance Data</w:t>
      </w:r>
      <w:r w:rsidR="00251193">
        <w:t xml:space="preserve"> for Signboards</w:t>
      </w:r>
    </w:p>
    <w:p w14:paraId="156C1965" w14:textId="77777777" w:rsidR="0019219D" w:rsidRDefault="0019219D" w:rsidP="00CD46E2">
      <w:pPr>
        <w:keepNext/>
        <w:keepLines/>
        <w:jc w:val="both"/>
      </w:pPr>
      <w:r>
        <w:t xml:space="preserve">Vertical clearance </w:t>
      </w:r>
      <w:r w:rsidR="00251193">
        <w:t xml:space="preserve">of signboards </w:t>
      </w:r>
      <w:r>
        <w:t>is an important factor in determining routes of OS loads along freight networks, as the clearance height limits the size of loads that can pass underneath. The vertical clearance dataset is a GIS map representing the Texas freight network, overlaid with vertical clearances of signboards as points along the network.</w:t>
      </w:r>
      <w:r>
        <w:rPr>
          <w:rStyle w:val="FootnoteReference"/>
        </w:rPr>
        <w:footnoteReference w:id="2"/>
      </w:r>
      <w:r>
        <w:t xml:space="preserve"> The clearance height is </w:t>
      </w:r>
      <w:r w:rsidR="00251193">
        <w:t xml:space="preserve">specified in </w:t>
      </w:r>
      <w:r>
        <w:t>three levels: 16 to 18 feet, 14 to 16 feet, and under 14 feet</w:t>
      </w:r>
      <w:r w:rsidR="00251193">
        <w:t xml:space="preserve">. </w:t>
      </w:r>
      <w:r>
        <w:t xml:space="preserve">The ArcGIS online map is exported as a shapefile and then included in our </w:t>
      </w:r>
      <w:proofErr w:type="spellStart"/>
      <w:r>
        <w:t>TransCAD</w:t>
      </w:r>
      <w:proofErr w:type="spellEnd"/>
      <w:r>
        <w:t xml:space="preserve"> network. </w:t>
      </w:r>
    </w:p>
    <w:p w14:paraId="6F16F714" w14:textId="77777777" w:rsidR="0019219D" w:rsidRDefault="0019219D" w:rsidP="0067454F">
      <w:pPr>
        <w:jc w:val="both"/>
      </w:pPr>
    </w:p>
    <w:p w14:paraId="5F11ADBB" w14:textId="77777777" w:rsidR="00BE4A98" w:rsidRPr="00401793" w:rsidRDefault="00620F92" w:rsidP="0067454F">
      <w:pPr>
        <w:pStyle w:val="Heading3"/>
        <w:spacing w:line="240" w:lineRule="auto"/>
      </w:pPr>
      <w:r>
        <w:t>2</w:t>
      </w:r>
      <w:r w:rsidR="009F7965" w:rsidRPr="00401793">
        <w:t>.1</w:t>
      </w:r>
      <w:r w:rsidR="00BE4A98" w:rsidRPr="00401793">
        <w:t>.4 Pavement Data</w:t>
      </w:r>
    </w:p>
    <w:p w14:paraId="4442B553" w14:textId="77777777" w:rsidR="00BE4A98" w:rsidRDefault="006C202C" w:rsidP="0067454F">
      <w:pPr>
        <w:jc w:val="both"/>
      </w:pPr>
      <w:r>
        <w:t>We pulled</w:t>
      </w:r>
      <w:r w:rsidR="00BE4A98">
        <w:t xml:space="preserve"> pavement data from the Texas Pavement Management Information System (PMIS). PMIS itemizes pavement characteristic data for the state-maintained highway system. The PMIS data</w:t>
      </w:r>
      <w:r w:rsidR="00FB4199">
        <w:t>set</w:t>
      </w:r>
      <w:r w:rsidR="00BE4A98">
        <w:t xml:space="preserve"> includes condition summaries that provide specifics on ride quality, skids, structural strength, district control, management, automated rutting measurements, texture, </w:t>
      </w:r>
      <w:r w:rsidR="00FB4199">
        <w:t xml:space="preserve">and </w:t>
      </w:r>
      <w:r w:rsidR="00BE4A98">
        <w:t xml:space="preserve">distresses in Portland cement concrete and asphalt concrete pavement, among many other parameters. PMIS provides easy access to various data about pavement conditions and quality throughout the Texas road network, which is useful in determining access routes for </w:t>
      </w:r>
      <w:r w:rsidR="00FB4199">
        <w:t xml:space="preserve">OS/OW </w:t>
      </w:r>
      <w:r w:rsidR="00BE4A98">
        <w:t xml:space="preserve">loads. Our tool uses three </w:t>
      </w:r>
      <w:r w:rsidR="00BE4A98">
        <w:lastRenderedPageBreak/>
        <w:t xml:space="preserve">PMIS variables: latitude, longitude (used to locate the pavement sectors in the </w:t>
      </w:r>
      <w:proofErr w:type="spellStart"/>
      <w:r w:rsidR="00BE4A98">
        <w:t>TransCAD</w:t>
      </w:r>
      <w:proofErr w:type="spellEnd"/>
      <w:r w:rsidR="00BE4A98">
        <w:t xml:space="preserve"> map), and condition score. Condition score combines the scores for ride quality and pavement distress, using a scale from 1 (worst condition) to 100 (best condition).</w:t>
      </w:r>
      <w:r w:rsidR="0002720F">
        <w:t xml:space="preserve"> </w:t>
      </w:r>
    </w:p>
    <w:p w14:paraId="4E331B8D" w14:textId="77777777" w:rsidR="00FB4199" w:rsidRDefault="00FB4199" w:rsidP="0067454F">
      <w:pPr>
        <w:jc w:val="both"/>
      </w:pPr>
    </w:p>
    <w:p w14:paraId="19B4C75E" w14:textId="77777777" w:rsidR="00FB4199" w:rsidRDefault="00620F92" w:rsidP="0067454F">
      <w:pPr>
        <w:pStyle w:val="Heading2"/>
        <w:spacing w:line="240" w:lineRule="auto"/>
      </w:pPr>
      <w:r>
        <w:t>2</w:t>
      </w:r>
      <w:r w:rsidR="00FB4199" w:rsidRPr="009F7965">
        <w:t>.</w:t>
      </w:r>
      <w:r w:rsidR="00CC7164">
        <w:t>2</w:t>
      </w:r>
      <w:r w:rsidR="00FB4199">
        <w:t>.</w:t>
      </w:r>
      <w:r w:rsidR="00FB4199" w:rsidRPr="009F7965">
        <w:t xml:space="preserve"> </w:t>
      </w:r>
      <w:r w:rsidR="00CC7164">
        <w:t xml:space="preserve">Routing </w:t>
      </w:r>
      <w:r w:rsidR="00FB4199" w:rsidRPr="009F7965">
        <w:t xml:space="preserve">Tool </w:t>
      </w:r>
      <w:r w:rsidR="00FB4199">
        <w:t>Function</w:t>
      </w:r>
    </w:p>
    <w:p w14:paraId="47511E24" w14:textId="77777777" w:rsidR="00CC7164" w:rsidRDefault="00CC7164" w:rsidP="0067454F">
      <w:pPr>
        <w:jc w:val="both"/>
      </w:pPr>
      <w:r>
        <w:t xml:space="preserve">We performed geographic analysis operations to combine the four datasets. Using the </w:t>
      </w:r>
      <w:r w:rsidR="00C707C8">
        <w:t>r</w:t>
      </w:r>
      <w:r>
        <w:t xml:space="preserve">oute </w:t>
      </w:r>
      <w:r w:rsidR="00C707C8">
        <w:t>n</w:t>
      </w:r>
      <w:r>
        <w:t xml:space="preserve">etwork data as the base </w:t>
      </w:r>
      <w:r w:rsidR="00364703">
        <w:t>layer</w:t>
      </w:r>
      <w:r w:rsidR="002E0533">
        <w:t xml:space="preserve"> and t</w:t>
      </w:r>
      <w:r>
        <w:t xml:space="preserve">he other data </w:t>
      </w:r>
      <w:r w:rsidR="00364703">
        <w:t>layers</w:t>
      </w:r>
      <w:r>
        <w:t xml:space="preserve"> are geographically overlaid and the attributes matched to the base roads matching a given spatial threshold (0.05 miles for the bridge data, 0.25 miles for the vertical clearance data). The bridge dataset establishes the height and weight limits on the bridges, thus preventing their inclusion in routes generated for trucks carrying loads in excess of those limits. The vertical clearance data is then added to the roads on which they lie, to be used in restricting the number of paths considered in the shortest path algorithm. The pavement data is used to allot a certain score to the pavement, based on its current known condition.</w:t>
      </w:r>
    </w:p>
    <w:p w14:paraId="0DFE1F60" w14:textId="06EC46F7" w:rsidR="00030FB7" w:rsidRDefault="006531AE" w:rsidP="0067454F">
      <w:pPr>
        <w:ind w:firstLine="720"/>
        <w:jc w:val="both"/>
      </w:pPr>
      <w:r>
        <w:t xml:space="preserve">The </w:t>
      </w:r>
      <w:r w:rsidR="00B04381">
        <w:t>tool</w:t>
      </w:r>
      <w:r w:rsidR="00D92C21">
        <w:t xml:space="preserve"> functions by</w:t>
      </w:r>
      <w:r>
        <w:t xml:space="preserve"> calculatin</w:t>
      </w:r>
      <w:r w:rsidR="00D92C21">
        <w:t>g</w:t>
      </w:r>
      <w:r>
        <w:t xml:space="preserve"> a composite score based on </w:t>
      </w:r>
      <w:r w:rsidR="005C39B0">
        <w:t xml:space="preserve">each road’s </w:t>
      </w:r>
      <w:r>
        <w:t xml:space="preserve">parameters and the constrained multi-objective shortest path algorithm. </w:t>
      </w:r>
      <w:r w:rsidR="00B04381">
        <w:t>Users input</w:t>
      </w:r>
      <w:r>
        <w:t xml:space="preserve"> the truck load, height</w:t>
      </w:r>
      <w:r w:rsidR="005C39B0">
        <w:t>,</w:t>
      </w:r>
      <w:r>
        <w:t xml:space="preserve"> and configuration.</w:t>
      </w:r>
      <w:r w:rsidR="00364703">
        <w:t xml:space="preserve"> </w:t>
      </w:r>
      <w:r w:rsidR="00BB2498">
        <w:t>The shortest path is the route with the lowest composite score. This composite score is computed in units of distance and i</w:t>
      </w:r>
      <w:r w:rsidR="00BB2498" w:rsidRPr="00C321D6">
        <w:t xml:space="preserve">s obtained as the weighted sum of the </w:t>
      </w:r>
      <w:r w:rsidR="00BB2498">
        <w:t xml:space="preserve">travel distance and a pavement condition measure, plus a penalty for each turn the truck makes. The weight of the travel distance and pavement condition have default values of 0.9 and 0.1 respectively, but those values can be modified by the user. The turn penalty has a default value of 5 miles per turn (for both right and left turns), but this value can also be modified by the user later (the default value is based on </w:t>
      </w:r>
      <w:proofErr w:type="spellStart"/>
      <w:r w:rsidR="00BB2498">
        <w:t>Clossey</w:t>
      </w:r>
      <w:proofErr w:type="spellEnd"/>
      <w:r w:rsidR="00BB2498">
        <w:t xml:space="preserve"> </w:t>
      </w:r>
      <w:r w:rsidR="00BB2498" w:rsidRPr="003152E3">
        <w:rPr>
          <w:i/>
        </w:rPr>
        <w:t>et al</w:t>
      </w:r>
      <w:r w:rsidR="008A4246">
        <w:t>. (</w:t>
      </w:r>
      <w:r w:rsidR="008A4246" w:rsidRPr="008A4246">
        <w:rPr>
          <w:i/>
        </w:rPr>
        <w:t>9</w:t>
      </w:r>
      <w:r w:rsidR="008A4246">
        <w:t>)</w:t>
      </w:r>
      <w:r w:rsidR="00BB2498">
        <w:t xml:space="preserve">, and Arkin </w:t>
      </w:r>
      <w:r w:rsidR="00BB2498" w:rsidRPr="003152E3">
        <w:rPr>
          <w:i/>
        </w:rPr>
        <w:t>et al</w:t>
      </w:r>
      <w:r w:rsidR="00BB2498" w:rsidRPr="00CD46E2">
        <w:t>.</w:t>
      </w:r>
      <w:r w:rsidR="008A4246">
        <w:t xml:space="preserve"> (</w:t>
      </w:r>
      <w:r w:rsidR="008A4246" w:rsidRPr="008A4246">
        <w:rPr>
          <w:i/>
        </w:rPr>
        <w:t>10</w:t>
      </w:r>
      <w:r w:rsidR="008A4246">
        <w:t>)</w:t>
      </w:r>
      <w:r w:rsidR="00BB2498">
        <w:t>)</w:t>
      </w:r>
      <w:r w:rsidR="00BB2498" w:rsidRPr="00C321D6">
        <w:t xml:space="preserve">. </w:t>
      </w:r>
      <w:r w:rsidR="00BB2498">
        <w:t>The default expression for the composite score corresponds to:</w:t>
      </w:r>
    </w:p>
    <w:p w14:paraId="6906669C" w14:textId="77777777" w:rsidR="006C202C" w:rsidRDefault="006C202C" w:rsidP="0067454F">
      <w:pPr>
        <w:ind w:firstLine="720"/>
        <w:jc w:val="both"/>
      </w:pPr>
    </w:p>
    <w:p w14:paraId="359B6C7A" w14:textId="77777777" w:rsidR="006C202C" w:rsidRPr="00106359" w:rsidRDefault="006531AE" w:rsidP="00106359">
      <w:pPr>
        <w:tabs>
          <w:tab w:val="right" w:pos="9360"/>
        </w:tabs>
        <w:jc w:val="center"/>
        <w:rPr>
          <w:szCs w:val="24"/>
        </w:rPr>
      </w:pPr>
      <w:r w:rsidRPr="00106359">
        <w:rPr>
          <w:i/>
          <w:sz w:val="22"/>
          <w:szCs w:val="23"/>
        </w:rPr>
        <w:t>Composite Score</w:t>
      </w:r>
      <w:r w:rsidRPr="00106359">
        <w:rPr>
          <w:sz w:val="22"/>
          <w:szCs w:val="23"/>
        </w:rPr>
        <w:t xml:space="preserve"> = 0.9*</w:t>
      </w:r>
      <w:r w:rsidRPr="00106359">
        <w:rPr>
          <w:i/>
          <w:sz w:val="22"/>
          <w:szCs w:val="23"/>
        </w:rPr>
        <w:t xml:space="preserve">Travel Distance in Miles </w:t>
      </w:r>
      <w:r w:rsidRPr="00106359">
        <w:rPr>
          <w:sz w:val="22"/>
          <w:szCs w:val="23"/>
        </w:rPr>
        <w:t>+ 0.1*</w:t>
      </w:r>
      <w:r w:rsidRPr="00106359">
        <w:rPr>
          <w:i/>
          <w:sz w:val="22"/>
          <w:szCs w:val="23"/>
        </w:rPr>
        <w:t xml:space="preserve">Pavement Condition </w:t>
      </w:r>
      <w:r w:rsidRPr="00106359">
        <w:rPr>
          <w:sz w:val="22"/>
          <w:szCs w:val="23"/>
        </w:rPr>
        <w:t>+ 5*</w:t>
      </w:r>
      <w:r w:rsidRPr="00106359">
        <w:rPr>
          <w:i/>
          <w:sz w:val="22"/>
          <w:szCs w:val="23"/>
        </w:rPr>
        <w:t>Number of turns</w:t>
      </w:r>
      <w:r w:rsidR="005E07C3">
        <w:rPr>
          <w:i/>
          <w:sz w:val="23"/>
          <w:szCs w:val="23"/>
        </w:rPr>
        <w:t xml:space="preserve"> </w:t>
      </w:r>
      <w:r w:rsidR="00106359">
        <w:rPr>
          <w:sz w:val="23"/>
          <w:szCs w:val="23"/>
        </w:rPr>
        <w:tab/>
      </w:r>
      <w:r w:rsidR="005E07C3" w:rsidRPr="00106359">
        <w:rPr>
          <w:szCs w:val="24"/>
        </w:rPr>
        <w:t>(1)</w:t>
      </w:r>
    </w:p>
    <w:p w14:paraId="269D5D30" w14:textId="77777777" w:rsidR="00030FB7" w:rsidRPr="00106359" w:rsidRDefault="00030FB7" w:rsidP="0067454F">
      <w:pPr>
        <w:ind w:firstLine="720"/>
        <w:jc w:val="both"/>
        <w:rPr>
          <w:szCs w:val="24"/>
        </w:rPr>
      </w:pPr>
    </w:p>
    <w:p w14:paraId="7E0CBE3F" w14:textId="77777777" w:rsidR="00BB2498" w:rsidRDefault="006531AE" w:rsidP="0067454F">
      <w:pPr>
        <w:jc w:val="both"/>
      </w:pPr>
      <w:r w:rsidRPr="00C85B03">
        <w:t xml:space="preserve">The pavement condition </w:t>
      </w:r>
      <w:r w:rsidR="00364703">
        <w:t xml:space="preserve">measure </w:t>
      </w:r>
      <w:r w:rsidRPr="00C85B03">
        <w:t xml:space="preserve">is computed as </w:t>
      </w:r>
      <w:r w:rsidRPr="00C85B03">
        <w:rPr>
          <w:i/>
        </w:rPr>
        <w:t>Travel Distance</w:t>
      </w:r>
      <w:r w:rsidRPr="00C85B03">
        <w:t xml:space="preserve"> * (100 - </w:t>
      </w:r>
      <w:r w:rsidRPr="00C85B03">
        <w:rPr>
          <w:i/>
        </w:rPr>
        <w:t>condition score</w:t>
      </w:r>
      <w:r w:rsidRPr="00C85B03">
        <w:t xml:space="preserve">)/100, using the condition score defined in Section </w:t>
      </w:r>
      <w:r w:rsidR="006157CE">
        <w:t>2</w:t>
      </w:r>
      <w:r w:rsidR="00A40462">
        <w:t>.1.4</w:t>
      </w:r>
      <w:r>
        <w:t xml:space="preserve">. </w:t>
      </w:r>
      <w:r w:rsidR="00BB2498" w:rsidRPr="00BB2498">
        <w:t xml:space="preserve">The pavement condition metric measures the </w:t>
      </w:r>
      <w:r w:rsidR="000B0CE2">
        <w:t xml:space="preserve">existing </w:t>
      </w:r>
      <w:r w:rsidR="00BB2498" w:rsidRPr="00BB2498">
        <w:t>pavement damage as reported by PMIS; roads with pavements in better condition contribute to lower, more favorable composite scores.</w:t>
      </w:r>
      <w:r w:rsidR="00221DA3">
        <w:rPr>
          <w:rStyle w:val="FootnoteReference"/>
        </w:rPr>
        <w:footnoteReference w:id="3"/>
      </w:r>
      <w:r w:rsidR="005657E0">
        <w:t xml:space="preserve"> </w:t>
      </w:r>
    </w:p>
    <w:p w14:paraId="49EB5F7D" w14:textId="77777777" w:rsidR="006531AE" w:rsidRPr="003A2B06" w:rsidRDefault="00221DA3" w:rsidP="0067454F">
      <w:pPr>
        <w:ind w:firstLine="720"/>
        <w:jc w:val="both"/>
      </w:pPr>
      <w:r>
        <w:t>To use the tool, t</w:t>
      </w:r>
      <w:r w:rsidR="00BB2498">
        <w:t xml:space="preserve">he user selects the origin and destination on the </w:t>
      </w:r>
      <w:r w:rsidR="00310750">
        <w:t xml:space="preserve">onscreen </w:t>
      </w:r>
      <w:r w:rsidR="00BB2498">
        <w:t xml:space="preserve">map of Texas. </w:t>
      </w:r>
      <w:r w:rsidR="004A54AF">
        <w:t xml:space="preserve">Employing </w:t>
      </w:r>
      <w:r w:rsidR="006531AE">
        <w:t xml:space="preserve">a standard shortest path algorithm with turn movements </w:t>
      </w:r>
      <w:r w:rsidR="004A54AF">
        <w:t xml:space="preserve">and </w:t>
      </w:r>
      <w:r w:rsidR="006531AE">
        <w:t xml:space="preserve">using the composite score as the optimization criteria, </w:t>
      </w:r>
      <w:proofErr w:type="spellStart"/>
      <w:r w:rsidR="00522066">
        <w:t>TransCAD</w:t>
      </w:r>
      <w:proofErr w:type="spellEnd"/>
      <w:r w:rsidR="00522066">
        <w:t xml:space="preserve"> calculates </w:t>
      </w:r>
      <w:r w:rsidR="006531AE">
        <w:t xml:space="preserve">the optimum path and </w:t>
      </w:r>
      <w:r w:rsidR="00522066">
        <w:t xml:space="preserve">shows </w:t>
      </w:r>
      <w:r w:rsidR="006531AE">
        <w:t>the user the route highlighted</w:t>
      </w:r>
      <w:r w:rsidR="00522066">
        <w:t xml:space="preserve"> on the map</w:t>
      </w:r>
      <w:r w:rsidR="006531AE">
        <w:t>, as well as</w:t>
      </w:r>
      <w:r w:rsidR="00522066">
        <w:t xml:space="preserve"> providing</w:t>
      </w:r>
      <w:r w:rsidR="006531AE">
        <w:t xml:space="preserve"> detailed </w:t>
      </w:r>
      <w:r w:rsidR="00522066">
        <w:t xml:space="preserve">route </w:t>
      </w:r>
      <w:r w:rsidR="006531AE">
        <w:t xml:space="preserve">instructions, </w:t>
      </w:r>
      <w:r w:rsidR="00522066">
        <w:t xml:space="preserve">such as </w:t>
      </w:r>
      <w:r w:rsidR="006531AE">
        <w:t xml:space="preserve">the distances to be travelled on each road, </w:t>
      </w:r>
      <w:r w:rsidR="004A54AF">
        <w:t xml:space="preserve">road </w:t>
      </w:r>
      <w:r w:rsidR="006531AE">
        <w:t xml:space="preserve">names, </w:t>
      </w:r>
      <w:r w:rsidR="004A54AF">
        <w:t xml:space="preserve">and </w:t>
      </w:r>
      <w:r w:rsidR="006531AE">
        <w:t>intersections where turn movements are to be executed</w:t>
      </w:r>
      <w:r w:rsidR="004A54AF">
        <w:t>.</w:t>
      </w:r>
      <w:r w:rsidR="006531AE">
        <w:t xml:space="preserve"> </w:t>
      </w:r>
      <w:r w:rsidR="004A54AF">
        <w:t>T</w:t>
      </w:r>
      <w:r w:rsidR="006531AE">
        <w:t xml:space="preserve">his output is saved to a </w:t>
      </w:r>
      <w:r w:rsidR="004A54AF">
        <w:t xml:space="preserve">Notepad </w:t>
      </w:r>
      <w:r w:rsidR="006531AE">
        <w:t>file.</w:t>
      </w:r>
    </w:p>
    <w:p w14:paraId="65BB07C3" w14:textId="77777777" w:rsidR="006531AE" w:rsidRPr="00246DF7" w:rsidRDefault="006531AE" w:rsidP="0067454F"/>
    <w:p w14:paraId="5325BD5F" w14:textId="77777777" w:rsidR="00D643CD" w:rsidRPr="00A41BFC" w:rsidRDefault="00620F92" w:rsidP="0067454F">
      <w:pPr>
        <w:pStyle w:val="Heading1"/>
        <w:spacing w:line="240" w:lineRule="auto"/>
      </w:pPr>
      <w:r>
        <w:t>3</w:t>
      </w:r>
      <w:r w:rsidR="00D643CD" w:rsidRPr="00A41BFC">
        <w:t xml:space="preserve">. </w:t>
      </w:r>
      <w:r w:rsidR="001854E5">
        <w:t>PLANNING FOR THE FUTURE</w:t>
      </w:r>
    </w:p>
    <w:p w14:paraId="69DED72D" w14:textId="77777777" w:rsidR="002634D8" w:rsidRDefault="00DA394A" w:rsidP="0067454F">
      <w:pPr>
        <w:jc w:val="both"/>
        <w:rPr>
          <w:bCs/>
          <w:color w:val="000000"/>
          <w:szCs w:val="24"/>
        </w:rPr>
      </w:pPr>
      <w:r>
        <w:rPr>
          <w:bCs/>
          <w:color w:val="000000"/>
          <w:szCs w:val="24"/>
        </w:rPr>
        <w:t xml:space="preserve">Section </w:t>
      </w:r>
      <w:r w:rsidR="006157CE">
        <w:rPr>
          <w:bCs/>
          <w:color w:val="000000"/>
          <w:szCs w:val="24"/>
        </w:rPr>
        <w:t xml:space="preserve">1.2 </w:t>
      </w:r>
      <w:r>
        <w:rPr>
          <w:bCs/>
          <w:color w:val="000000"/>
          <w:szCs w:val="24"/>
        </w:rPr>
        <w:t xml:space="preserve">described </w:t>
      </w:r>
      <w:proofErr w:type="gramStart"/>
      <w:r w:rsidR="00887CF3">
        <w:rPr>
          <w:bCs/>
          <w:color w:val="000000"/>
          <w:szCs w:val="24"/>
        </w:rPr>
        <w:t>ARPS</w:t>
      </w:r>
      <w:proofErr w:type="gramEnd"/>
      <w:r w:rsidR="00887CF3">
        <w:rPr>
          <w:bCs/>
          <w:color w:val="000000"/>
          <w:szCs w:val="24"/>
        </w:rPr>
        <w:t xml:space="preserve"> </w:t>
      </w:r>
      <w:r>
        <w:rPr>
          <w:bCs/>
          <w:color w:val="000000"/>
          <w:szCs w:val="24"/>
        </w:rPr>
        <w:t>applications that manufacturers or shipping companies can use to create a route plan for a given driver’s particular trip</w:t>
      </w:r>
      <w:r w:rsidR="0090239A">
        <w:rPr>
          <w:bCs/>
          <w:color w:val="000000"/>
          <w:szCs w:val="24"/>
        </w:rPr>
        <w:t xml:space="preserve"> with an OS/OW load</w:t>
      </w:r>
      <w:r>
        <w:rPr>
          <w:bCs/>
          <w:color w:val="000000"/>
          <w:szCs w:val="24"/>
        </w:rPr>
        <w:t xml:space="preserve">. </w:t>
      </w:r>
      <w:r w:rsidR="004D0239">
        <w:rPr>
          <w:bCs/>
          <w:color w:val="000000"/>
          <w:szCs w:val="24"/>
        </w:rPr>
        <w:t xml:space="preserve">As discussed </w:t>
      </w:r>
      <w:r w:rsidR="00364703">
        <w:rPr>
          <w:bCs/>
          <w:color w:val="000000"/>
          <w:szCs w:val="24"/>
        </w:rPr>
        <w:t>in</w:t>
      </w:r>
      <w:r w:rsidR="004D0239">
        <w:rPr>
          <w:bCs/>
          <w:color w:val="000000"/>
          <w:szCs w:val="24"/>
        </w:rPr>
        <w:t xml:space="preserve"> </w:t>
      </w:r>
      <w:r w:rsidR="006157CE">
        <w:rPr>
          <w:bCs/>
          <w:color w:val="000000"/>
          <w:szCs w:val="24"/>
        </w:rPr>
        <w:t>Section 1.3</w:t>
      </w:r>
      <w:r w:rsidR="004D0239">
        <w:rPr>
          <w:bCs/>
          <w:color w:val="000000"/>
          <w:szCs w:val="24"/>
        </w:rPr>
        <w:t>, o</w:t>
      </w:r>
      <w:r w:rsidR="002634D8">
        <w:rPr>
          <w:bCs/>
          <w:color w:val="000000"/>
          <w:szCs w:val="24"/>
        </w:rPr>
        <w:t xml:space="preserve">ur tool </w:t>
      </w:r>
      <w:r w:rsidR="00CE38E9">
        <w:rPr>
          <w:bCs/>
          <w:color w:val="000000"/>
          <w:szCs w:val="24"/>
        </w:rPr>
        <w:t>differs</w:t>
      </w:r>
      <w:r w:rsidR="004D0239">
        <w:rPr>
          <w:bCs/>
          <w:color w:val="000000"/>
          <w:szCs w:val="24"/>
        </w:rPr>
        <w:t xml:space="preserve"> from these applications </w:t>
      </w:r>
      <w:r w:rsidR="00030FB7">
        <w:rPr>
          <w:bCs/>
          <w:color w:val="000000"/>
          <w:szCs w:val="24"/>
        </w:rPr>
        <w:t xml:space="preserve">because: </w:t>
      </w:r>
      <w:r w:rsidR="00480718">
        <w:rPr>
          <w:bCs/>
          <w:color w:val="000000"/>
          <w:szCs w:val="24"/>
        </w:rPr>
        <w:t>(</w:t>
      </w:r>
      <w:r w:rsidR="00030FB7">
        <w:rPr>
          <w:bCs/>
          <w:color w:val="000000"/>
          <w:szCs w:val="24"/>
        </w:rPr>
        <w:t xml:space="preserve">1) it has a more general definition of the optimization criteria </w:t>
      </w:r>
      <w:r w:rsidR="00030FB7">
        <w:rPr>
          <w:szCs w:val="24"/>
        </w:rPr>
        <w:t xml:space="preserve">(minimizing both potential for road damage and driver delay), </w:t>
      </w:r>
      <w:r w:rsidR="00030FB7">
        <w:rPr>
          <w:bCs/>
          <w:color w:val="000000"/>
          <w:szCs w:val="24"/>
        </w:rPr>
        <w:t xml:space="preserve">and </w:t>
      </w:r>
      <w:r w:rsidR="00480718">
        <w:rPr>
          <w:bCs/>
          <w:color w:val="000000"/>
          <w:szCs w:val="24"/>
        </w:rPr>
        <w:t>(</w:t>
      </w:r>
      <w:r w:rsidR="00030FB7">
        <w:rPr>
          <w:bCs/>
          <w:color w:val="000000"/>
          <w:szCs w:val="24"/>
        </w:rPr>
        <w:t>2)</w:t>
      </w:r>
      <w:r w:rsidR="004D0239">
        <w:rPr>
          <w:bCs/>
          <w:color w:val="000000"/>
          <w:szCs w:val="24"/>
        </w:rPr>
        <w:t xml:space="preserve"> it can help</w:t>
      </w:r>
      <w:r w:rsidR="00030FB7">
        <w:rPr>
          <w:bCs/>
          <w:color w:val="000000"/>
          <w:szCs w:val="24"/>
        </w:rPr>
        <w:t xml:space="preserve"> to</w:t>
      </w:r>
      <w:r w:rsidR="004D0239">
        <w:rPr>
          <w:bCs/>
          <w:color w:val="000000"/>
          <w:szCs w:val="24"/>
        </w:rPr>
        <w:t xml:space="preserve"> plan the </w:t>
      </w:r>
      <w:r w:rsidR="00CE38E9">
        <w:rPr>
          <w:bCs/>
          <w:color w:val="000000"/>
          <w:szCs w:val="24"/>
        </w:rPr>
        <w:t xml:space="preserve">future </w:t>
      </w:r>
      <w:r w:rsidR="004D0239">
        <w:rPr>
          <w:bCs/>
          <w:color w:val="000000"/>
          <w:szCs w:val="24"/>
        </w:rPr>
        <w:t>transportation of wind turbine components</w:t>
      </w:r>
      <w:r w:rsidR="00735345" w:rsidRPr="00735345">
        <w:rPr>
          <w:bCs/>
          <w:color w:val="000000"/>
          <w:szCs w:val="24"/>
        </w:rPr>
        <w:t xml:space="preserve">. </w:t>
      </w:r>
      <w:r w:rsidR="00785997">
        <w:rPr>
          <w:bCs/>
          <w:color w:val="000000"/>
          <w:szCs w:val="24"/>
        </w:rPr>
        <w:t xml:space="preserve">To that </w:t>
      </w:r>
      <w:r w:rsidR="0090239A">
        <w:rPr>
          <w:bCs/>
          <w:color w:val="000000"/>
          <w:szCs w:val="24"/>
        </w:rPr>
        <w:t>end</w:t>
      </w:r>
      <w:r w:rsidR="00785997">
        <w:rPr>
          <w:bCs/>
          <w:color w:val="000000"/>
          <w:szCs w:val="24"/>
        </w:rPr>
        <w:t xml:space="preserve">, we </w:t>
      </w:r>
      <w:r w:rsidR="00AD1595">
        <w:rPr>
          <w:bCs/>
          <w:color w:val="000000"/>
          <w:szCs w:val="24"/>
        </w:rPr>
        <w:t>predict how much wind power</w:t>
      </w:r>
      <w:r w:rsidR="002634D8">
        <w:rPr>
          <w:bCs/>
          <w:color w:val="000000"/>
          <w:szCs w:val="24"/>
        </w:rPr>
        <w:t xml:space="preserve"> energy will be installed in the state </w:t>
      </w:r>
      <w:r w:rsidR="00CE0FE5">
        <w:rPr>
          <w:bCs/>
          <w:color w:val="000000"/>
          <w:szCs w:val="24"/>
        </w:rPr>
        <w:t>each</w:t>
      </w:r>
      <w:r w:rsidR="002634D8">
        <w:rPr>
          <w:bCs/>
          <w:color w:val="000000"/>
          <w:szCs w:val="24"/>
        </w:rPr>
        <w:t xml:space="preserve"> yea</w:t>
      </w:r>
      <w:r w:rsidR="00AD67A9">
        <w:rPr>
          <w:bCs/>
          <w:color w:val="000000"/>
          <w:szCs w:val="24"/>
        </w:rPr>
        <w:t>r from 2016</w:t>
      </w:r>
      <w:r w:rsidR="002634D8">
        <w:rPr>
          <w:bCs/>
          <w:color w:val="000000"/>
          <w:szCs w:val="24"/>
        </w:rPr>
        <w:t xml:space="preserve"> to 2025. Then we use those predictions to compute </w:t>
      </w:r>
      <w:r w:rsidR="00941F40">
        <w:rPr>
          <w:bCs/>
          <w:color w:val="000000"/>
          <w:szCs w:val="24"/>
        </w:rPr>
        <w:t>the number of</w:t>
      </w:r>
      <w:r w:rsidR="002634D8">
        <w:rPr>
          <w:bCs/>
          <w:color w:val="000000"/>
          <w:szCs w:val="24"/>
        </w:rPr>
        <w:t xml:space="preserve"> turbines </w:t>
      </w:r>
      <w:r w:rsidR="00941F40">
        <w:rPr>
          <w:bCs/>
          <w:color w:val="000000"/>
          <w:szCs w:val="24"/>
        </w:rPr>
        <w:t xml:space="preserve">to </w:t>
      </w:r>
      <w:r w:rsidR="002634D8">
        <w:rPr>
          <w:bCs/>
          <w:color w:val="000000"/>
          <w:szCs w:val="24"/>
        </w:rPr>
        <w:t xml:space="preserve">be installed and recommend the best way to transport them </w:t>
      </w:r>
      <w:r w:rsidR="00941F40">
        <w:rPr>
          <w:bCs/>
          <w:color w:val="000000"/>
          <w:szCs w:val="24"/>
        </w:rPr>
        <w:t xml:space="preserve">over </w:t>
      </w:r>
      <w:r w:rsidR="002634D8">
        <w:rPr>
          <w:bCs/>
          <w:color w:val="000000"/>
          <w:szCs w:val="24"/>
        </w:rPr>
        <w:t>the state road</w:t>
      </w:r>
      <w:r w:rsidR="00941F40">
        <w:rPr>
          <w:bCs/>
          <w:color w:val="000000"/>
          <w:szCs w:val="24"/>
        </w:rPr>
        <w:t>way network</w:t>
      </w:r>
      <w:r w:rsidR="002634D8">
        <w:rPr>
          <w:bCs/>
          <w:color w:val="000000"/>
          <w:szCs w:val="24"/>
        </w:rPr>
        <w:t>.</w:t>
      </w:r>
      <w:r w:rsidR="00BE4057">
        <w:rPr>
          <w:bCs/>
          <w:color w:val="000000"/>
          <w:szCs w:val="24"/>
        </w:rPr>
        <w:t xml:space="preserve"> </w:t>
      </w:r>
    </w:p>
    <w:p w14:paraId="24F1C83E" w14:textId="77777777" w:rsidR="00480718" w:rsidRDefault="00480718" w:rsidP="0067454F">
      <w:pPr>
        <w:jc w:val="both"/>
        <w:rPr>
          <w:bCs/>
          <w:color w:val="000000"/>
          <w:szCs w:val="24"/>
        </w:rPr>
      </w:pPr>
    </w:p>
    <w:p w14:paraId="6A9BC5C4" w14:textId="77777777" w:rsidR="006C202C" w:rsidRPr="006C202C" w:rsidRDefault="00620F92" w:rsidP="0067454F">
      <w:pPr>
        <w:pStyle w:val="Heading2"/>
        <w:spacing w:line="240" w:lineRule="auto"/>
      </w:pPr>
      <w:r>
        <w:t>3</w:t>
      </w:r>
      <w:r w:rsidR="006C202C" w:rsidRPr="006C202C">
        <w:t xml:space="preserve">.1. </w:t>
      </w:r>
      <w:r w:rsidR="0053737A">
        <w:t>Prediction Model</w:t>
      </w:r>
    </w:p>
    <w:p w14:paraId="74FEE8D6" w14:textId="77777777" w:rsidR="003D3984" w:rsidRDefault="003D3984" w:rsidP="0067454F">
      <w:pPr>
        <w:jc w:val="both"/>
        <w:rPr>
          <w:bCs/>
          <w:color w:val="000000"/>
          <w:szCs w:val="24"/>
        </w:rPr>
      </w:pPr>
      <w:r w:rsidRPr="003D3984">
        <w:rPr>
          <w:bCs/>
          <w:color w:val="000000"/>
          <w:szCs w:val="24"/>
        </w:rPr>
        <w:t>The first step in determining ideal routes for wind turbine component transportation throughout the state</w:t>
      </w:r>
      <w:r w:rsidR="00364703">
        <w:rPr>
          <w:bCs/>
          <w:color w:val="000000"/>
          <w:szCs w:val="24"/>
        </w:rPr>
        <w:t>, and over time,</w:t>
      </w:r>
      <w:r w:rsidRPr="003D3984">
        <w:rPr>
          <w:bCs/>
          <w:color w:val="000000"/>
          <w:szCs w:val="24"/>
        </w:rPr>
        <w:t xml:space="preserve"> is to identify future wind farm locations. </w:t>
      </w:r>
      <w:r w:rsidR="00113B22">
        <w:rPr>
          <w:bCs/>
          <w:color w:val="000000"/>
          <w:szCs w:val="24"/>
        </w:rPr>
        <w:t>T</w:t>
      </w:r>
      <w:r w:rsidRPr="003D3984">
        <w:rPr>
          <w:bCs/>
          <w:color w:val="000000"/>
          <w:szCs w:val="24"/>
        </w:rPr>
        <w:t xml:space="preserve">his section </w:t>
      </w:r>
      <w:r w:rsidR="00EA50E9">
        <w:rPr>
          <w:bCs/>
          <w:color w:val="000000"/>
          <w:szCs w:val="24"/>
        </w:rPr>
        <w:t>describes</w:t>
      </w:r>
      <w:r w:rsidRPr="003D3984">
        <w:rPr>
          <w:bCs/>
          <w:color w:val="000000"/>
          <w:szCs w:val="24"/>
        </w:rPr>
        <w:t xml:space="preserve"> </w:t>
      </w:r>
      <w:r w:rsidR="00113B22">
        <w:rPr>
          <w:bCs/>
          <w:color w:val="000000"/>
          <w:szCs w:val="24"/>
        </w:rPr>
        <w:t>the</w:t>
      </w:r>
      <w:r w:rsidR="00113B22" w:rsidRPr="003D3984">
        <w:rPr>
          <w:bCs/>
          <w:color w:val="000000"/>
          <w:szCs w:val="24"/>
        </w:rPr>
        <w:t xml:space="preserve"> </w:t>
      </w:r>
      <w:r w:rsidRPr="003D3984">
        <w:rPr>
          <w:bCs/>
          <w:color w:val="000000"/>
          <w:szCs w:val="24"/>
        </w:rPr>
        <w:t xml:space="preserve">process of assembling the data and estimating a predictive model that we </w:t>
      </w:r>
      <w:r w:rsidR="00CE0FE5">
        <w:rPr>
          <w:bCs/>
          <w:color w:val="000000"/>
          <w:szCs w:val="24"/>
        </w:rPr>
        <w:t xml:space="preserve">can </w:t>
      </w:r>
      <w:r w:rsidRPr="003D3984">
        <w:rPr>
          <w:bCs/>
          <w:color w:val="000000"/>
          <w:szCs w:val="24"/>
        </w:rPr>
        <w:t>use to forecast the number and location of new wind farms year-by-year through 2025.</w:t>
      </w:r>
    </w:p>
    <w:p w14:paraId="72374483" w14:textId="77777777" w:rsidR="003D3984" w:rsidRPr="003D3984" w:rsidRDefault="003D3984" w:rsidP="0067454F">
      <w:pPr>
        <w:jc w:val="both"/>
        <w:rPr>
          <w:bCs/>
          <w:color w:val="000000"/>
          <w:szCs w:val="24"/>
        </w:rPr>
      </w:pPr>
    </w:p>
    <w:p w14:paraId="4D4C4FA6" w14:textId="77777777" w:rsidR="00E16EC6" w:rsidRPr="006C202C" w:rsidRDefault="00620F92" w:rsidP="0067454F">
      <w:pPr>
        <w:pStyle w:val="Heading3"/>
        <w:spacing w:line="240" w:lineRule="auto"/>
      </w:pPr>
      <w:r>
        <w:t>3</w:t>
      </w:r>
      <w:r w:rsidR="00E16EC6" w:rsidRPr="006C202C">
        <w:t>.1.</w:t>
      </w:r>
      <w:r w:rsidR="006C202C" w:rsidRPr="006C202C">
        <w:t>1.</w:t>
      </w:r>
      <w:r w:rsidR="00E16EC6" w:rsidRPr="006C202C">
        <w:t xml:space="preserve"> Prediction Method</w:t>
      </w:r>
    </w:p>
    <w:p w14:paraId="0398691A" w14:textId="77777777" w:rsidR="00BA3D32" w:rsidRPr="00BA3D32" w:rsidRDefault="00EA50E9" w:rsidP="0067454F">
      <w:pPr>
        <w:jc w:val="both"/>
        <w:rPr>
          <w:rFonts w:ascii="TimesNewRomanPSMT" w:eastAsia="Times New Roman" w:hAnsi="TimesNewRomanPSMT" w:cs="TimesNewRomanPSMT"/>
          <w:szCs w:val="24"/>
          <w:lang w:eastAsia="ja-JP"/>
        </w:rPr>
      </w:pPr>
      <w:r>
        <w:rPr>
          <w:bCs/>
          <w:color w:val="000000"/>
          <w:szCs w:val="24"/>
        </w:rPr>
        <w:t>Our prediction</w:t>
      </w:r>
      <w:r w:rsidR="00BA3D32" w:rsidRPr="00BA3D32">
        <w:rPr>
          <w:rFonts w:ascii="TimesNewRomanPSMT" w:eastAsia="Times New Roman" w:hAnsi="TimesNewRomanPSMT" w:cs="TimesNewRomanPSMT"/>
          <w:szCs w:val="24"/>
          <w:lang w:eastAsia="ja-JP"/>
        </w:rPr>
        <w:t xml:space="preserve"> methodology included the following steps:</w:t>
      </w:r>
    </w:p>
    <w:p w14:paraId="0904BD1A" w14:textId="77777777" w:rsidR="00BA3D32" w:rsidRPr="00BA3D32" w:rsidRDefault="00BA3D32" w:rsidP="00696BB7">
      <w:pPr>
        <w:pStyle w:val="ListParagraph"/>
        <w:numPr>
          <w:ilvl w:val="0"/>
          <w:numId w:val="11"/>
        </w:numPr>
        <w:ind w:left="900"/>
        <w:contextualSpacing w:val="0"/>
        <w:jc w:val="both"/>
        <w:rPr>
          <w:rFonts w:ascii="TimesNewRomanPSMT" w:eastAsia="Times New Roman" w:hAnsi="TimesNewRomanPSMT" w:cs="TimesNewRomanPSMT"/>
          <w:szCs w:val="24"/>
          <w:lang w:eastAsia="ja-JP"/>
        </w:rPr>
      </w:pPr>
      <w:r w:rsidRPr="00BA3D32">
        <w:rPr>
          <w:rFonts w:ascii="TimesNewRomanPSMT" w:eastAsia="Times New Roman" w:hAnsi="TimesNewRomanPSMT" w:cs="TimesNewRomanPSMT"/>
          <w:szCs w:val="24"/>
          <w:lang w:eastAsia="ja-JP"/>
        </w:rPr>
        <w:t xml:space="preserve">Texas was divided into </w:t>
      </w:r>
      <w:r w:rsidR="00A769AD">
        <w:rPr>
          <w:rFonts w:ascii="TimesNewRomanPSMT" w:eastAsia="Times New Roman" w:hAnsi="TimesNewRomanPSMT" w:cs="TimesNewRomanPSMT"/>
          <w:szCs w:val="24"/>
          <w:lang w:eastAsia="ja-JP"/>
        </w:rPr>
        <w:t>15,811</w:t>
      </w:r>
      <w:r w:rsidR="00A769AD" w:rsidRPr="00BA3D32">
        <w:rPr>
          <w:rFonts w:ascii="TimesNewRomanPSMT" w:eastAsia="Times New Roman" w:hAnsi="TimesNewRomanPSMT" w:cs="TimesNewRomanPSMT"/>
          <w:szCs w:val="24"/>
          <w:lang w:eastAsia="ja-JP"/>
        </w:rPr>
        <w:t xml:space="preserve"> </w:t>
      </w:r>
      <w:r w:rsidRPr="00BA3D32">
        <w:rPr>
          <w:rFonts w:ascii="TimesNewRomanPSMT" w:eastAsia="Times New Roman" w:hAnsi="TimesNewRomanPSMT" w:cs="TimesNewRomanPSMT"/>
          <w:szCs w:val="24"/>
          <w:lang w:eastAsia="ja-JP"/>
        </w:rPr>
        <w:t>census block groups.</w:t>
      </w:r>
    </w:p>
    <w:p w14:paraId="15D739D5" w14:textId="77777777" w:rsidR="00BA3D32" w:rsidRPr="00BA3D32" w:rsidRDefault="00BA3D32" w:rsidP="00696BB7">
      <w:pPr>
        <w:pStyle w:val="ListParagraph"/>
        <w:numPr>
          <w:ilvl w:val="0"/>
          <w:numId w:val="11"/>
        </w:numPr>
        <w:ind w:left="900"/>
        <w:contextualSpacing w:val="0"/>
        <w:jc w:val="both"/>
        <w:rPr>
          <w:rFonts w:ascii="TimesNewRomanPSMT" w:eastAsia="Times New Roman" w:hAnsi="TimesNewRomanPSMT" w:cs="TimesNewRomanPSMT"/>
          <w:szCs w:val="24"/>
          <w:lang w:eastAsia="ja-JP"/>
        </w:rPr>
      </w:pPr>
      <w:r w:rsidRPr="00BA3D32">
        <w:rPr>
          <w:rFonts w:ascii="TimesNewRomanPSMT" w:eastAsia="Times New Roman" w:hAnsi="TimesNewRomanPSMT" w:cs="TimesNewRomanPSMT"/>
          <w:szCs w:val="24"/>
          <w:lang w:eastAsia="ja-JP"/>
        </w:rPr>
        <w:t xml:space="preserve">For each zone (census block group), </w:t>
      </w:r>
      <w:r w:rsidR="00075319">
        <w:rPr>
          <w:rFonts w:ascii="TimesNewRomanPSMT" w:eastAsia="Times New Roman" w:hAnsi="TimesNewRomanPSMT" w:cs="TimesNewRomanPSMT"/>
          <w:szCs w:val="24"/>
          <w:lang w:eastAsia="ja-JP"/>
        </w:rPr>
        <w:t xml:space="preserve">we collected </w:t>
      </w:r>
      <w:r w:rsidRPr="00BA3D32">
        <w:rPr>
          <w:rFonts w:ascii="TimesNewRomanPSMT" w:eastAsia="Times New Roman" w:hAnsi="TimesNewRomanPSMT" w:cs="TimesNewRomanPSMT"/>
          <w:szCs w:val="24"/>
          <w:lang w:eastAsia="ja-JP"/>
        </w:rPr>
        <w:t>information on several attributes that may impact the number of wind farms installed per year</w:t>
      </w:r>
      <w:r w:rsidR="00075319">
        <w:rPr>
          <w:rFonts w:ascii="TimesNewRomanPSMT" w:eastAsia="Times New Roman" w:hAnsi="TimesNewRomanPSMT" w:cs="TimesNewRomanPSMT"/>
          <w:szCs w:val="24"/>
          <w:lang w:eastAsia="ja-JP"/>
        </w:rPr>
        <w:t>:</w:t>
      </w:r>
      <w:r w:rsidRPr="00BA3D32">
        <w:rPr>
          <w:rFonts w:ascii="TimesNewRomanPSMT" w:eastAsia="Times New Roman" w:hAnsi="TimesNewRomanPSMT" w:cs="TimesNewRomanPSMT"/>
          <w:szCs w:val="24"/>
          <w:lang w:eastAsia="ja-JP"/>
        </w:rPr>
        <w:t xml:space="preserve"> distance from the centroid of each zone to the nearest urban road, distance from the centroid of each zone to the nearest primary electric transmission line, and </w:t>
      </w:r>
      <w:r w:rsidR="00075319">
        <w:rPr>
          <w:rFonts w:ascii="TimesNewRomanPSMT" w:eastAsia="Times New Roman" w:hAnsi="TimesNewRomanPSMT" w:cs="TimesNewRomanPSMT"/>
          <w:szCs w:val="24"/>
          <w:lang w:eastAsia="ja-JP"/>
        </w:rPr>
        <w:t xml:space="preserve">the </w:t>
      </w:r>
      <w:r w:rsidRPr="00BA3D32">
        <w:rPr>
          <w:rFonts w:ascii="TimesNewRomanPSMT" w:eastAsia="Times New Roman" w:hAnsi="TimesNewRomanPSMT" w:cs="TimesNewRomanPSMT"/>
          <w:szCs w:val="24"/>
          <w:lang w:eastAsia="ja-JP"/>
        </w:rPr>
        <w:t xml:space="preserve">wind power potential of each zone. </w:t>
      </w:r>
    </w:p>
    <w:p w14:paraId="7CD25A5F" w14:textId="77777777" w:rsidR="00BA3D32" w:rsidRPr="00BA3D32" w:rsidRDefault="00BA3D32" w:rsidP="00696BB7">
      <w:pPr>
        <w:pStyle w:val="ListParagraph"/>
        <w:numPr>
          <w:ilvl w:val="0"/>
          <w:numId w:val="11"/>
        </w:numPr>
        <w:ind w:left="900"/>
        <w:contextualSpacing w:val="0"/>
        <w:jc w:val="both"/>
        <w:rPr>
          <w:rFonts w:ascii="TimesNewRomanPSMT" w:eastAsia="Times New Roman" w:hAnsi="TimesNewRomanPSMT" w:cs="TimesNewRomanPSMT"/>
          <w:szCs w:val="24"/>
          <w:lang w:eastAsia="ja-JP"/>
        </w:rPr>
      </w:pPr>
      <w:r w:rsidRPr="00BA3D32">
        <w:rPr>
          <w:rFonts w:ascii="TimesNewRomanPSMT" w:eastAsia="Times New Roman" w:hAnsi="TimesNewRomanPSMT" w:cs="TimesNewRomanPSMT"/>
          <w:szCs w:val="24"/>
          <w:lang w:eastAsia="ja-JP"/>
        </w:rPr>
        <w:t xml:space="preserve">Based on information available online, </w:t>
      </w:r>
      <w:r w:rsidR="00075319">
        <w:rPr>
          <w:rFonts w:ascii="TimesNewRomanPSMT" w:eastAsia="Times New Roman" w:hAnsi="TimesNewRomanPSMT" w:cs="TimesNewRomanPSMT"/>
          <w:szCs w:val="24"/>
          <w:lang w:eastAsia="ja-JP"/>
        </w:rPr>
        <w:t xml:space="preserve">we </w:t>
      </w:r>
      <w:r w:rsidRPr="00BA3D32">
        <w:rPr>
          <w:rFonts w:ascii="TimesNewRomanPSMT" w:eastAsia="Times New Roman" w:hAnsi="TimesNewRomanPSMT" w:cs="TimesNewRomanPSMT"/>
          <w:szCs w:val="24"/>
          <w:lang w:eastAsia="ja-JP"/>
        </w:rPr>
        <w:t>estimate</w:t>
      </w:r>
      <w:r w:rsidR="00075319">
        <w:rPr>
          <w:rFonts w:ascii="TimesNewRomanPSMT" w:eastAsia="Times New Roman" w:hAnsi="TimesNewRomanPSMT" w:cs="TimesNewRomanPSMT"/>
          <w:szCs w:val="24"/>
          <w:lang w:eastAsia="ja-JP"/>
        </w:rPr>
        <w:t>d</w:t>
      </w:r>
      <w:r w:rsidRPr="00BA3D32">
        <w:rPr>
          <w:rFonts w:ascii="TimesNewRomanPSMT" w:eastAsia="Times New Roman" w:hAnsi="TimesNewRomanPSMT" w:cs="TimesNewRomanPSMT"/>
          <w:szCs w:val="24"/>
          <w:lang w:eastAsia="ja-JP"/>
        </w:rPr>
        <w:t xml:space="preserve"> the amount of wind power energy installed each year (from 1996 to 2015) in each zone.</w:t>
      </w:r>
    </w:p>
    <w:p w14:paraId="2CE1DEFB" w14:textId="77777777" w:rsidR="005642C8" w:rsidRPr="00D1131C" w:rsidRDefault="00BA3D32" w:rsidP="00D1131C">
      <w:pPr>
        <w:pStyle w:val="ListParagraph"/>
        <w:numPr>
          <w:ilvl w:val="0"/>
          <w:numId w:val="11"/>
        </w:numPr>
        <w:ind w:left="900"/>
        <w:contextualSpacing w:val="0"/>
        <w:jc w:val="both"/>
        <w:rPr>
          <w:rFonts w:ascii="TimesNewRomanPSMT" w:eastAsia="Times New Roman" w:hAnsi="TimesNewRomanPSMT" w:cs="TimesNewRomanPSMT"/>
          <w:szCs w:val="24"/>
          <w:lang w:eastAsia="ja-JP"/>
        </w:rPr>
      </w:pPr>
      <w:r w:rsidRPr="00BA3D32">
        <w:rPr>
          <w:rFonts w:ascii="TimesNewRomanPSMT" w:eastAsia="Times New Roman" w:hAnsi="TimesNewRomanPSMT" w:cs="TimesNewRomanPSMT"/>
          <w:szCs w:val="24"/>
          <w:lang w:eastAsia="ja-JP"/>
        </w:rPr>
        <w:t>One record was created in our estimation sample for each year and each zone and the installed wind power energy was appended, as well as the other zone characteristics (see Step 2).</w:t>
      </w:r>
    </w:p>
    <w:p w14:paraId="70340F62" w14:textId="77777777" w:rsidR="00BA3D32" w:rsidRPr="00BA3D32" w:rsidRDefault="00BA3D32" w:rsidP="00696BB7">
      <w:pPr>
        <w:pStyle w:val="ListParagraph"/>
        <w:numPr>
          <w:ilvl w:val="0"/>
          <w:numId w:val="11"/>
        </w:numPr>
        <w:ind w:left="900"/>
        <w:contextualSpacing w:val="0"/>
        <w:jc w:val="both"/>
        <w:rPr>
          <w:rFonts w:ascii="TimesNewRomanPSMT" w:eastAsia="Times New Roman" w:hAnsi="TimesNewRomanPSMT" w:cs="TimesNewRomanPSMT"/>
          <w:szCs w:val="24"/>
          <w:lang w:eastAsia="ja-JP"/>
        </w:rPr>
      </w:pPr>
      <w:r w:rsidRPr="00BA3D32">
        <w:rPr>
          <w:rFonts w:ascii="TimesNewRomanPSMT" w:eastAsia="Times New Roman" w:hAnsi="TimesNewRomanPSMT" w:cs="TimesNewRomanPSMT"/>
          <w:szCs w:val="24"/>
          <w:lang w:eastAsia="ja-JP"/>
        </w:rPr>
        <w:t>A regression model was estimated using the records generated in the previous step.</w:t>
      </w:r>
    </w:p>
    <w:p w14:paraId="183F1864" w14:textId="77777777" w:rsidR="00030FB7" w:rsidRPr="00BA3D32" w:rsidRDefault="00BA3D32" w:rsidP="00696BB7">
      <w:pPr>
        <w:pStyle w:val="ListParagraph"/>
        <w:numPr>
          <w:ilvl w:val="0"/>
          <w:numId w:val="11"/>
        </w:numPr>
        <w:ind w:left="900"/>
        <w:contextualSpacing w:val="0"/>
        <w:jc w:val="both"/>
        <w:rPr>
          <w:rFonts w:ascii="TimesNewRomanPSMT" w:eastAsia="Times New Roman" w:hAnsi="TimesNewRomanPSMT" w:cs="TimesNewRomanPSMT"/>
          <w:szCs w:val="24"/>
          <w:lang w:eastAsia="ja-JP"/>
        </w:rPr>
      </w:pPr>
      <w:r w:rsidRPr="00BA3D32">
        <w:rPr>
          <w:rFonts w:ascii="TimesNewRomanPSMT" w:eastAsia="Times New Roman" w:hAnsi="TimesNewRomanPSMT" w:cs="TimesNewRomanPSMT"/>
          <w:szCs w:val="24"/>
          <w:lang w:eastAsia="ja-JP"/>
        </w:rPr>
        <w:t>The parameters estimated in Step 5 were used to predict the amount of wind power energy that will be installed each year (from 2016 to 2025) in each zone.</w:t>
      </w:r>
    </w:p>
    <w:p w14:paraId="47977C7C" w14:textId="77777777" w:rsidR="00030FB7" w:rsidRPr="00075319" w:rsidRDefault="00030FB7" w:rsidP="0067454F">
      <w:pPr>
        <w:pStyle w:val="ListParagraph"/>
        <w:contextualSpacing w:val="0"/>
        <w:jc w:val="both"/>
      </w:pPr>
    </w:p>
    <w:p w14:paraId="198F77D1" w14:textId="77777777" w:rsidR="00E16EC6" w:rsidRPr="006C202C" w:rsidRDefault="00620F92" w:rsidP="00CD46E2">
      <w:pPr>
        <w:pStyle w:val="Heading3"/>
        <w:keepNext/>
        <w:keepLines/>
        <w:spacing w:line="240" w:lineRule="auto"/>
        <w:rPr>
          <w:bCs/>
          <w:color w:val="000000"/>
          <w:szCs w:val="24"/>
        </w:rPr>
      </w:pPr>
      <w:r>
        <w:rPr>
          <w:bCs/>
          <w:color w:val="000000"/>
          <w:szCs w:val="24"/>
        </w:rPr>
        <w:t>3</w:t>
      </w:r>
      <w:r w:rsidR="00E16EC6" w:rsidRPr="006C202C">
        <w:rPr>
          <w:bCs/>
          <w:color w:val="000000"/>
          <w:szCs w:val="24"/>
        </w:rPr>
        <w:t>.</w:t>
      </w:r>
      <w:r w:rsidR="006C202C" w:rsidRPr="006C202C">
        <w:rPr>
          <w:bCs/>
          <w:color w:val="000000"/>
          <w:szCs w:val="24"/>
        </w:rPr>
        <w:t>1.</w:t>
      </w:r>
      <w:r w:rsidR="00E16EC6" w:rsidRPr="006C202C">
        <w:rPr>
          <w:bCs/>
          <w:color w:val="000000"/>
          <w:szCs w:val="24"/>
        </w:rPr>
        <w:t xml:space="preserve">2. </w:t>
      </w:r>
      <w:r w:rsidR="00FA7915">
        <w:t>Data Sources</w:t>
      </w:r>
    </w:p>
    <w:p w14:paraId="2FF44D71" w14:textId="77777777" w:rsidR="00FA7915" w:rsidRDefault="0053737A" w:rsidP="00CD46E2">
      <w:pPr>
        <w:keepNext/>
        <w:keepLines/>
        <w:jc w:val="both"/>
        <w:rPr>
          <w:rFonts w:ascii="TimesNewRomanPSMT" w:eastAsia="Times New Roman" w:hAnsi="TimesNewRomanPSMT" w:cs="TimesNewRomanPSMT"/>
          <w:szCs w:val="24"/>
          <w:lang w:eastAsia="ja-JP"/>
        </w:rPr>
      </w:pPr>
      <w:r w:rsidRPr="0053737A">
        <w:rPr>
          <w:rFonts w:ascii="TimesNewRomanPSMT" w:eastAsia="Times New Roman" w:hAnsi="TimesNewRomanPSMT" w:cs="TimesNewRomanPSMT"/>
          <w:szCs w:val="24"/>
          <w:lang w:eastAsia="ja-JP"/>
        </w:rPr>
        <w:t>Spatial GIS data was collected in the form of six main shapefiles, or digital map features: census block groups, wind farm locations, wind power potential, roads, transmission lines, and compe</w:t>
      </w:r>
      <w:r w:rsidR="00FA7915">
        <w:rPr>
          <w:rFonts w:ascii="TimesNewRomanPSMT" w:eastAsia="Times New Roman" w:hAnsi="TimesNewRomanPSMT" w:cs="TimesNewRomanPSMT"/>
          <w:szCs w:val="24"/>
          <w:lang w:eastAsia="ja-JP"/>
        </w:rPr>
        <w:t>titive renewable energy zones.</w:t>
      </w:r>
    </w:p>
    <w:p w14:paraId="4A4BAA96" w14:textId="77777777" w:rsidR="0053737A" w:rsidRPr="0053737A" w:rsidRDefault="00606E2E" w:rsidP="0067454F">
      <w:pPr>
        <w:numPr>
          <w:ilvl w:val="0"/>
          <w:numId w:val="13"/>
        </w:numPr>
        <w:jc w:val="both"/>
        <w:rPr>
          <w:rFonts w:ascii="TimesNewRomanPSMT" w:eastAsia="Times New Roman" w:hAnsi="TimesNewRomanPSMT" w:cs="TimesNewRomanPSMT"/>
          <w:szCs w:val="24"/>
          <w:lang w:eastAsia="ja-JP"/>
        </w:rPr>
      </w:pPr>
      <w:r>
        <w:rPr>
          <w:rFonts w:ascii="TimesNewRomanPSMT" w:eastAsia="Times New Roman" w:hAnsi="TimesNewRomanPSMT" w:cs="TimesNewRomanPSMT"/>
          <w:szCs w:val="24"/>
          <w:lang w:eastAsia="ja-JP"/>
        </w:rPr>
        <w:t>F</w:t>
      </w:r>
      <w:r w:rsidR="0090696D">
        <w:rPr>
          <w:rFonts w:ascii="TimesNewRomanPSMT" w:eastAsia="Times New Roman" w:hAnsi="TimesNewRomanPSMT" w:cs="TimesNewRomanPSMT"/>
          <w:szCs w:val="24"/>
          <w:lang w:eastAsia="ja-JP"/>
        </w:rPr>
        <w:t xml:space="preserve">rom the </w:t>
      </w:r>
      <w:r>
        <w:rPr>
          <w:rFonts w:ascii="TimesNewRomanPSMT" w:eastAsia="Times New Roman" w:hAnsi="TimesNewRomanPSMT" w:cs="TimesNewRomanPSMT"/>
          <w:szCs w:val="24"/>
          <w:lang w:eastAsia="ja-JP"/>
        </w:rPr>
        <w:t xml:space="preserve">U.S. </w:t>
      </w:r>
      <w:r w:rsidR="0090696D">
        <w:rPr>
          <w:rFonts w:ascii="TimesNewRomanPSMT" w:eastAsia="Times New Roman" w:hAnsi="TimesNewRomanPSMT" w:cs="TimesNewRomanPSMT"/>
          <w:szCs w:val="24"/>
          <w:lang w:eastAsia="ja-JP"/>
        </w:rPr>
        <w:t>census website</w:t>
      </w:r>
      <w:r w:rsidR="0053737A" w:rsidRPr="0053737A">
        <w:rPr>
          <w:rFonts w:ascii="TimesNewRomanPSMT" w:eastAsia="Times New Roman" w:hAnsi="TimesNewRomanPSMT" w:cs="TimesNewRomanPSMT"/>
          <w:szCs w:val="24"/>
          <w:lang w:eastAsia="ja-JP"/>
        </w:rPr>
        <w:t xml:space="preserve">, </w:t>
      </w:r>
      <w:r>
        <w:rPr>
          <w:rFonts w:ascii="TimesNewRomanPSMT" w:eastAsia="Times New Roman" w:hAnsi="TimesNewRomanPSMT" w:cs="TimesNewRomanPSMT"/>
          <w:szCs w:val="24"/>
          <w:lang w:eastAsia="ja-JP"/>
        </w:rPr>
        <w:t xml:space="preserve">we downloaded </w:t>
      </w:r>
      <w:r w:rsidR="0053737A" w:rsidRPr="0053737A">
        <w:rPr>
          <w:rFonts w:ascii="TimesNewRomanPSMT" w:eastAsia="Times New Roman" w:hAnsi="TimesNewRomanPSMT" w:cs="TimesNewRomanPSMT"/>
          <w:szCs w:val="24"/>
          <w:lang w:eastAsia="ja-JP"/>
        </w:rPr>
        <w:t xml:space="preserve">the shapefile with the census block groups in Texas as a GIS polygon. The location of the centroid </w:t>
      </w:r>
      <w:r w:rsidR="00FA7915">
        <w:rPr>
          <w:rFonts w:ascii="TimesNewRomanPSMT" w:eastAsia="Times New Roman" w:hAnsi="TimesNewRomanPSMT" w:cs="TimesNewRomanPSMT"/>
          <w:szCs w:val="24"/>
          <w:lang w:eastAsia="ja-JP"/>
        </w:rPr>
        <w:t xml:space="preserve">of each census block group </w:t>
      </w:r>
      <w:r w:rsidR="0053737A" w:rsidRPr="0053737A">
        <w:rPr>
          <w:rFonts w:ascii="TimesNewRomanPSMT" w:eastAsia="Times New Roman" w:hAnsi="TimesNewRomanPSMT" w:cs="TimesNewRomanPSMT"/>
          <w:szCs w:val="24"/>
          <w:lang w:eastAsia="ja-JP"/>
        </w:rPr>
        <w:t xml:space="preserve">was used to compute the distance to the nearest road and the nearest transmission line. </w:t>
      </w:r>
    </w:p>
    <w:p w14:paraId="53DC21B8" w14:textId="77777777" w:rsidR="0053737A" w:rsidRPr="0053737A" w:rsidRDefault="0053737A" w:rsidP="0067454F">
      <w:pPr>
        <w:numPr>
          <w:ilvl w:val="0"/>
          <w:numId w:val="13"/>
        </w:numPr>
        <w:jc w:val="both"/>
        <w:rPr>
          <w:rFonts w:ascii="TimesNewRomanPSMT" w:eastAsia="Times New Roman" w:hAnsi="TimesNewRomanPSMT" w:cs="TimesNewRomanPSMT"/>
          <w:szCs w:val="24"/>
          <w:lang w:eastAsia="ja-JP"/>
        </w:rPr>
      </w:pPr>
      <w:r w:rsidRPr="0053737A">
        <w:rPr>
          <w:rFonts w:ascii="TimesNewRomanPSMT" w:eastAsia="Times New Roman" w:hAnsi="TimesNewRomanPSMT" w:cs="TimesNewRomanPSMT"/>
          <w:szCs w:val="24"/>
          <w:lang w:eastAsia="ja-JP"/>
        </w:rPr>
        <w:t>The US Geological Survey, under the Data Series DS-817, provides a spreadsheet version of a dataset identifying windmill locations across</w:t>
      </w:r>
      <w:r w:rsidR="00606E2E">
        <w:rPr>
          <w:rFonts w:ascii="TimesNewRomanPSMT" w:eastAsia="Times New Roman" w:hAnsi="TimesNewRomanPSMT" w:cs="TimesNewRomanPSMT"/>
          <w:szCs w:val="24"/>
          <w:lang w:eastAsia="ja-JP"/>
        </w:rPr>
        <w:t xml:space="preserve"> the</w:t>
      </w:r>
      <w:r w:rsidRPr="0053737A">
        <w:rPr>
          <w:rFonts w:ascii="TimesNewRomanPSMT" w:eastAsia="Times New Roman" w:hAnsi="TimesNewRomanPSMT" w:cs="TimesNewRomanPSMT"/>
          <w:szCs w:val="24"/>
          <w:lang w:eastAsia="ja-JP"/>
        </w:rPr>
        <w:t xml:space="preserve"> </w:t>
      </w:r>
      <w:r w:rsidR="00606E2E">
        <w:rPr>
          <w:rFonts w:ascii="TimesNewRomanPSMT" w:eastAsia="Times New Roman" w:hAnsi="TimesNewRomanPSMT" w:cs="TimesNewRomanPSMT"/>
          <w:szCs w:val="24"/>
          <w:lang w:eastAsia="ja-JP"/>
        </w:rPr>
        <w:t>U.S</w:t>
      </w:r>
      <w:r w:rsidRPr="0053737A">
        <w:rPr>
          <w:rFonts w:ascii="TimesNewRomanPSMT" w:eastAsia="Times New Roman" w:hAnsi="TimesNewRomanPSMT" w:cs="TimesNewRomanPSMT"/>
          <w:szCs w:val="24"/>
          <w:lang w:eastAsia="ja-JP"/>
        </w:rPr>
        <w:t>.</w:t>
      </w:r>
      <w:r w:rsidR="00606E2E">
        <w:rPr>
          <w:rFonts w:ascii="TimesNewRomanPSMT" w:eastAsia="Times New Roman" w:hAnsi="TimesNewRomanPSMT" w:cs="TimesNewRomanPSMT"/>
          <w:szCs w:val="24"/>
          <w:lang w:eastAsia="ja-JP"/>
        </w:rPr>
        <w:t>; this dataset includes</w:t>
      </w:r>
      <w:r w:rsidR="00606E2E" w:rsidRPr="00606E2E">
        <w:t xml:space="preserve"> </w:t>
      </w:r>
      <w:r w:rsidR="00606E2E">
        <w:rPr>
          <w:rFonts w:ascii="TimesNewRomanPSMT" w:eastAsia="Times New Roman" w:hAnsi="TimesNewRomanPSMT" w:cs="TimesNewRomanPSMT"/>
          <w:szCs w:val="24"/>
          <w:lang w:eastAsia="ja-JP"/>
        </w:rPr>
        <w:t>m</w:t>
      </w:r>
      <w:r w:rsidR="00606E2E" w:rsidRPr="00606E2E">
        <w:rPr>
          <w:rFonts w:ascii="TimesNewRomanPSMT" w:eastAsia="Times New Roman" w:hAnsi="TimesNewRomanPSMT" w:cs="TimesNewRomanPSMT"/>
          <w:szCs w:val="24"/>
          <w:lang w:eastAsia="ja-JP"/>
        </w:rPr>
        <w:t>anufacturers, windmill dimension and specification, years of operation, site name, etc.</w:t>
      </w:r>
      <w:r w:rsidR="00606E2E">
        <w:rPr>
          <w:rFonts w:ascii="TimesNewRomanPSMT" w:eastAsia="Times New Roman" w:hAnsi="TimesNewRomanPSMT" w:cs="TimesNewRomanPSMT"/>
          <w:szCs w:val="24"/>
          <w:lang w:eastAsia="ja-JP"/>
        </w:rPr>
        <w:t xml:space="preserve"> </w:t>
      </w:r>
      <w:r w:rsidR="008757E0">
        <w:rPr>
          <w:rFonts w:ascii="TimesNewRomanPSMT" w:eastAsia="Times New Roman" w:hAnsi="TimesNewRomanPSMT" w:cs="TimesNewRomanPSMT"/>
          <w:szCs w:val="24"/>
          <w:lang w:eastAsia="ja-JP"/>
        </w:rPr>
        <w:t>We</w:t>
      </w:r>
      <w:r w:rsidRPr="0053737A">
        <w:rPr>
          <w:rFonts w:ascii="TimesNewRomanPSMT" w:eastAsia="Times New Roman" w:hAnsi="TimesNewRomanPSMT" w:cs="TimesNewRomanPSMT"/>
          <w:szCs w:val="24"/>
          <w:lang w:eastAsia="ja-JP"/>
        </w:rPr>
        <w:t xml:space="preserve"> filtered the data for Texas and found 7,715 valid windmill locations available with their exact latitude and longitude.</w:t>
      </w:r>
      <w:r w:rsidR="001F31FD">
        <w:rPr>
          <w:rFonts w:ascii="TimesNewRomanPSMT" w:eastAsia="Times New Roman" w:hAnsi="TimesNewRomanPSMT" w:cs="TimesNewRomanPSMT"/>
          <w:szCs w:val="24"/>
          <w:lang w:eastAsia="ja-JP"/>
        </w:rPr>
        <w:t xml:space="preserve"> </w:t>
      </w:r>
      <w:r w:rsidRPr="0053737A">
        <w:rPr>
          <w:rFonts w:ascii="TimesNewRomanPSMT" w:eastAsia="Times New Roman" w:hAnsi="TimesNewRomanPSMT" w:cs="TimesNewRomanPSMT"/>
          <w:szCs w:val="24"/>
          <w:lang w:eastAsia="ja-JP"/>
        </w:rPr>
        <w:t xml:space="preserve">The most recent data in the spreadsheet is from 2013. The </w:t>
      </w:r>
      <w:r w:rsidRPr="0053737A">
        <w:rPr>
          <w:rFonts w:ascii="TimesNewRomanPSMT" w:eastAsia="Times New Roman" w:hAnsi="TimesNewRomanPSMT" w:cs="TimesNewRomanPSMT"/>
          <w:szCs w:val="24"/>
          <w:lang w:eastAsia="ja-JP"/>
        </w:rPr>
        <w:lastRenderedPageBreak/>
        <w:t xml:space="preserve">locations of these windmills </w:t>
      </w:r>
      <w:r w:rsidR="00606E2E">
        <w:rPr>
          <w:rFonts w:ascii="TimesNewRomanPSMT" w:eastAsia="Times New Roman" w:hAnsi="TimesNewRomanPSMT" w:cs="TimesNewRomanPSMT"/>
          <w:szCs w:val="24"/>
          <w:lang w:eastAsia="ja-JP"/>
        </w:rPr>
        <w:t>we</w:t>
      </w:r>
      <w:r w:rsidR="00606E2E" w:rsidRPr="0053737A">
        <w:rPr>
          <w:rFonts w:ascii="TimesNewRomanPSMT" w:eastAsia="Times New Roman" w:hAnsi="TimesNewRomanPSMT" w:cs="TimesNewRomanPSMT"/>
          <w:szCs w:val="24"/>
          <w:lang w:eastAsia="ja-JP"/>
        </w:rPr>
        <w:t xml:space="preserve">re </w:t>
      </w:r>
      <w:r w:rsidRPr="0053737A">
        <w:rPr>
          <w:rFonts w:ascii="TimesNewRomanPSMT" w:eastAsia="Times New Roman" w:hAnsi="TimesNewRomanPSMT" w:cs="TimesNewRomanPSMT"/>
          <w:szCs w:val="24"/>
          <w:lang w:eastAsia="ja-JP"/>
        </w:rPr>
        <w:t>entered in GIS for further estimation using the ‘locate X/Y’ tool in ArcMap.</w:t>
      </w:r>
    </w:p>
    <w:p w14:paraId="3F0678E5" w14:textId="77777777" w:rsidR="0053737A" w:rsidRPr="0053737A" w:rsidRDefault="0053737A" w:rsidP="0067454F">
      <w:pPr>
        <w:numPr>
          <w:ilvl w:val="0"/>
          <w:numId w:val="13"/>
        </w:numPr>
        <w:jc w:val="both"/>
        <w:rPr>
          <w:rFonts w:ascii="TimesNewRomanPSMT" w:eastAsia="Times New Roman" w:hAnsi="TimesNewRomanPSMT" w:cs="TimesNewRomanPSMT"/>
          <w:szCs w:val="24"/>
          <w:lang w:eastAsia="ja-JP"/>
        </w:rPr>
      </w:pPr>
      <w:r w:rsidRPr="0053737A">
        <w:rPr>
          <w:rFonts w:ascii="TimesNewRomanPSMT" w:eastAsia="Times New Roman" w:hAnsi="TimesNewRomanPSMT" w:cs="TimesNewRomanPSMT"/>
          <w:szCs w:val="24"/>
          <w:lang w:eastAsia="ja-JP"/>
        </w:rPr>
        <w:t xml:space="preserve">Wind farms constructed in 2014 and </w:t>
      </w:r>
      <w:r w:rsidR="00FD7720">
        <w:rPr>
          <w:rFonts w:ascii="TimesNewRomanPSMT" w:eastAsia="Times New Roman" w:hAnsi="TimesNewRomanPSMT" w:cs="TimesNewRomanPSMT"/>
          <w:szCs w:val="24"/>
          <w:lang w:eastAsia="ja-JP"/>
        </w:rPr>
        <w:t xml:space="preserve">2015 </w:t>
      </w:r>
      <w:r w:rsidR="00606E2E">
        <w:rPr>
          <w:rFonts w:ascii="TimesNewRomanPSMT" w:eastAsia="Times New Roman" w:hAnsi="TimesNewRomanPSMT" w:cs="TimesNewRomanPSMT"/>
          <w:szCs w:val="24"/>
          <w:lang w:eastAsia="ja-JP"/>
        </w:rPr>
        <w:t>we</w:t>
      </w:r>
      <w:r w:rsidR="00606E2E" w:rsidRPr="0053737A">
        <w:rPr>
          <w:rFonts w:ascii="TimesNewRomanPSMT" w:eastAsia="Times New Roman" w:hAnsi="TimesNewRomanPSMT" w:cs="TimesNewRomanPSMT"/>
          <w:szCs w:val="24"/>
          <w:lang w:eastAsia="ja-JP"/>
        </w:rPr>
        <w:t xml:space="preserve">re </w:t>
      </w:r>
      <w:r w:rsidR="00606E2E">
        <w:rPr>
          <w:rFonts w:ascii="TimesNewRomanPSMT" w:eastAsia="Times New Roman" w:hAnsi="TimesNewRomanPSMT" w:cs="TimesNewRomanPSMT"/>
          <w:szCs w:val="24"/>
          <w:lang w:eastAsia="ja-JP"/>
        </w:rPr>
        <w:t>addressed</w:t>
      </w:r>
      <w:r w:rsidRPr="0053737A">
        <w:rPr>
          <w:rFonts w:ascii="TimesNewRomanPSMT" w:eastAsia="Times New Roman" w:hAnsi="TimesNewRomanPSMT" w:cs="TimesNewRomanPSMT"/>
          <w:szCs w:val="24"/>
          <w:lang w:eastAsia="ja-JP"/>
        </w:rPr>
        <w:t xml:space="preserve"> separate</w:t>
      </w:r>
      <w:r w:rsidR="00606E2E">
        <w:rPr>
          <w:rFonts w:ascii="TimesNewRomanPSMT" w:eastAsia="Times New Roman" w:hAnsi="TimesNewRomanPSMT" w:cs="TimesNewRomanPSMT"/>
          <w:szCs w:val="24"/>
          <w:lang w:eastAsia="ja-JP"/>
        </w:rPr>
        <w:t>ly</w:t>
      </w:r>
      <w:r w:rsidRPr="0053737A">
        <w:rPr>
          <w:rFonts w:ascii="TimesNewRomanPSMT" w:eastAsia="Times New Roman" w:hAnsi="TimesNewRomanPSMT" w:cs="TimesNewRomanPSMT"/>
          <w:szCs w:val="24"/>
          <w:lang w:eastAsia="ja-JP"/>
        </w:rPr>
        <w:t xml:space="preserve">, as their exact locations are not in the public record. </w:t>
      </w:r>
      <w:r w:rsidR="006409AA">
        <w:rPr>
          <w:rFonts w:ascii="TimesNewRomanPSMT" w:eastAsia="Times New Roman" w:hAnsi="TimesNewRomanPSMT" w:cs="TimesNewRomanPSMT"/>
          <w:szCs w:val="24"/>
          <w:lang w:eastAsia="ja-JP"/>
        </w:rPr>
        <w:t>We</w:t>
      </w:r>
      <w:r w:rsidRPr="0053737A">
        <w:rPr>
          <w:rFonts w:ascii="TimesNewRomanPSMT" w:eastAsia="Times New Roman" w:hAnsi="TimesNewRomanPSMT" w:cs="TimesNewRomanPSMT"/>
          <w:szCs w:val="24"/>
          <w:lang w:eastAsia="ja-JP"/>
        </w:rPr>
        <w:t xml:space="preserve"> had </w:t>
      </w:r>
      <w:r w:rsidR="006409AA">
        <w:rPr>
          <w:rFonts w:ascii="TimesNewRomanPSMT" w:eastAsia="Times New Roman" w:hAnsi="TimesNewRomanPSMT" w:cs="TimesNewRomanPSMT"/>
          <w:szCs w:val="24"/>
          <w:lang w:eastAsia="ja-JP"/>
        </w:rPr>
        <w:t xml:space="preserve">information about </w:t>
      </w:r>
      <w:r w:rsidRPr="0053737A">
        <w:rPr>
          <w:rFonts w:ascii="TimesNewRomanPSMT" w:eastAsia="Times New Roman" w:hAnsi="TimesNewRomanPSMT" w:cs="TimesNewRomanPSMT"/>
          <w:szCs w:val="24"/>
          <w:lang w:eastAsia="ja-JP"/>
        </w:rPr>
        <w:t xml:space="preserve">facility, county, and company name for the announced wind farms (the </w:t>
      </w:r>
      <w:r w:rsidR="00A16624">
        <w:rPr>
          <w:rFonts w:ascii="TimesNewRomanPSMT" w:eastAsia="Times New Roman" w:hAnsi="TimesNewRomanPSMT" w:cs="TimesNewRomanPSMT"/>
          <w:szCs w:val="24"/>
          <w:lang w:eastAsia="ja-JP"/>
        </w:rPr>
        <w:t>PUC</w:t>
      </w:r>
      <w:r w:rsidRPr="0053737A">
        <w:rPr>
          <w:rFonts w:ascii="TimesNewRomanPSMT" w:eastAsia="Times New Roman" w:hAnsi="TimesNewRomanPSMT" w:cs="TimesNewRomanPSMT"/>
          <w:szCs w:val="24"/>
          <w:lang w:eastAsia="ja-JP"/>
        </w:rPr>
        <w:t xml:space="preserve"> maintains the dataset labeled “New Electric Generating Plants in Texas since 1995”).</w:t>
      </w:r>
      <w:r w:rsidR="001F31FD">
        <w:rPr>
          <w:rFonts w:ascii="TimesNewRomanPSMT" w:eastAsia="Times New Roman" w:hAnsi="TimesNewRomanPSMT" w:cs="TimesNewRomanPSMT"/>
          <w:szCs w:val="24"/>
          <w:lang w:eastAsia="ja-JP"/>
        </w:rPr>
        <w:t xml:space="preserve"> </w:t>
      </w:r>
      <w:r w:rsidRPr="0053737A">
        <w:rPr>
          <w:rFonts w:ascii="TimesNewRomanPSMT" w:eastAsia="Times New Roman" w:hAnsi="TimesNewRomanPSMT" w:cs="TimesNewRomanPSMT"/>
          <w:szCs w:val="24"/>
          <w:lang w:eastAsia="ja-JP"/>
        </w:rPr>
        <w:t xml:space="preserve">Using these keywords, </w:t>
      </w:r>
      <w:r w:rsidR="006409AA">
        <w:rPr>
          <w:rFonts w:ascii="TimesNewRomanPSMT" w:eastAsia="Times New Roman" w:hAnsi="TimesNewRomanPSMT" w:cs="TimesNewRomanPSMT"/>
          <w:szCs w:val="24"/>
          <w:lang w:eastAsia="ja-JP"/>
        </w:rPr>
        <w:t>we</w:t>
      </w:r>
      <w:r w:rsidRPr="0053737A">
        <w:rPr>
          <w:rFonts w:ascii="TimesNewRomanPSMT" w:eastAsia="Times New Roman" w:hAnsi="TimesNewRomanPSMT" w:cs="TimesNewRomanPSMT"/>
          <w:szCs w:val="24"/>
          <w:lang w:eastAsia="ja-JP"/>
        </w:rPr>
        <w:t xml:space="preserve"> looked for any news articles and memoranda of understanding pertaining to the proposed location of these wind farms, as well as their respective county websites. Once there was some local information (e.g., 40 miles northeast of Amarillo), </w:t>
      </w:r>
      <w:r w:rsidR="006409AA">
        <w:rPr>
          <w:rFonts w:ascii="TimesNewRomanPSMT" w:eastAsia="Times New Roman" w:hAnsi="TimesNewRomanPSMT" w:cs="TimesNewRomanPSMT"/>
          <w:szCs w:val="24"/>
          <w:lang w:eastAsia="ja-JP"/>
        </w:rPr>
        <w:t>we</w:t>
      </w:r>
      <w:r w:rsidRPr="0053737A">
        <w:rPr>
          <w:rFonts w:ascii="TimesNewRomanPSMT" w:eastAsia="Times New Roman" w:hAnsi="TimesNewRomanPSMT" w:cs="TimesNewRomanPSMT"/>
          <w:szCs w:val="24"/>
          <w:lang w:eastAsia="ja-JP"/>
        </w:rPr>
        <w:t xml:space="preserve"> used Google Maps to </w:t>
      </w:r>
      <w:r w:rsidR="00606E2E">
        <w:rPr>
          <w:rFonts w:ascii="TimesNewRomanPSMT" w:eastAsia="Times New Roman" w:hAnsi="TimesNewRomanPSMT" w:cs="TimesNewRomanPSMT"/>
          <w:szCs w:val="24"/>
          <w:lang w:eastAsia="ja-JP"/>
        </w:rPr>
        <w:t>determine</w:t>
      </w:r>
      <w:r w:rsidRPr="0053737A">
        <w:rPr>
          <w:rFonts w:ascii="TimesNewRomanPSMT" w:eastAsia="Times New Roman" w:hAnsi="TimesNewRomanPSMT" w:cs="TimesNewRomanPSMT"/>
          <w:szCs w:val="24"/>
          <w:lang w:eastAsia="ja-JP"/>
        </w:rPr>
        <w:t xml:space="preserve"> the latitude and longitude of that proposed facility. If the local information for the announced wind farm was not available, the mid-point of that county was taken as the facility’s location. Once latitude/longitude data was available, it was plotted in GIS for future estimation. </w:t>
      </w:r>
    </w:p>
    <w:p w14:paraId="7658B5FD" w14:textId="49488D36" w:rsidR="0053737A" w:rsidRPr="001854E5" w:rsidRDefault="0053737A" w:rsidP="0067454F">
      <w:pPr>
        <w:numPr>
          <w:ilvl w:val="0"/>
          <w:numId w:val="13"/>
        </w:numPr>
        <w:jc w:val="both"/>
        <w:rPr>
          <w:rFonts w:ascii="TimesNewRomanPSMT" w:eastAsia="Times New Roman" w:hAnsi="TimesNewRomanPSMT" w:cs="TimesNewRomanPSMT"/>
          <w:szCs w:val="24"/>
          <w:lang w:eastAsia="ja-JP"/>
        </w:rPr>
      </w:pPr>
      <w:r w:rsidRPr="0053737A">
        <w:rPr>
          <w:rFonts w:ascii="TimesNewRomanPSMT" w:eastAsia="Times New Roman" w:hAnsi="TimesNewRomanPSMT" w:cs="TimesNewRomanPSMT"/>
          <w:szCs w:val="24"/>
          <w:lang w:eastAsia="ja-JP"/>
        </w:rPr>
        <w:t>The shapefile with the wind power potential</w:t>
      </w:r>
      <w:r w:rsidR="00D200B0">
        <w:rPr>
          <w:rFonts w:ascii="TimesNewRomanPSMT" w:eastAsia="Times New Roman" w:hAnsi="TimesNewRomanPSMT" w:cs="TimesNewRomanPSMT"/>
          <w:szCs w:val="24"/>
          <w:lang w:eastAsia="ja-JP"/>
        </w:rPr>
        <w:t xml:space="preserve"> </w:t>
      </w:r>
      <w:r w:rsidRPr="0053737A">
        <w:rPr>
          <w:rFonts w:ascii="TimesNewRomanPSMT" w:eastAsia="Times New Roman" w:hAnsi="TimesNewRomanPSMT" w:cs="TimesNewRomanPSMT"/>
          <w:szCs w:val="24"/>
          <w:lang w:eastAsia="ja-JP"/>
        </w:rPr>
        <w:t>in Texas</w:t>
      </w:r>
      <w:r w:rsidR="00D200B0">
        <w:rPr>
          <w:rFonts w:ascii="TimesNewRomanPSMT" w:eastAsia="Times New Roman" w:hAnsi="TimesNewRomanPSMT" w:cs="TimesNewRomanPSMT"/>
          <w:szCs w:val="24"/>
          <w:lang w:eastAsia="ja-JP"/>
        </w:rPr>
        <w:t>, quantified in the form of wind power class (WPC) scores,</w:t>
      </w:r>
      <w:r w:rsidRPr="0053737A">
        <w:rPr>
          <w:rFonts w:ascii="TimesNewRomanPSMT" w:eastAsia="Times New Roman" w:hAnsi="TimesNewRomanPSMT" w:cs="TimesNewRomanPSMT"/>
          <w:szCs w:val="24"/>
          <w:lang w:eastAsia="ja-JP"/>
        </w:rPr>
        <w:t xml:space="preserve"> was downloaded from the National Renewable Energy Laboratory (NREL) website (</w:t>
      </w:r>
      <w:hyperlink r:id="rId16" w:history="1">
        <w:r w:rsidR="00D200B0" w:rsidRPr="009D1552">
          <w:rPr>
            <w:rStyle w:val="Hyperlink"/>
            <w:rFonts w:ascii="TimesNewRomanPSMT" w:eastAsia="Times New Roman" w:hAnsi="TimesNewRomanPSMT" w:cs="TimesNewRomanPSMT"/>
            <w:szCs w:val="24"/>
            <w:lang w:eastAsia="ja-JP"/>
          </w:rPr>
          <w:t>http://www.nrel.gov/gis/data_wind.html</w:t>
        </w:r>
      </w:hyperlink>
      <w:r w:rsidRPr="0053737A">
        <w:rPr>
          <w:rFonts w:ascii="TimesNewRomanPSMT" w:eastAsia="Times New Roman" w:hAnsi="TimesNewRomanPSMT" w:cs="TimesNewRomanPSMT"/>
          <w:szCs w:val="24"/>
          <w:lang w:eastAsia="ja-JP"/>
        </w:rPr>
        <w:t xml:space="preserve">). </w:t>
      </w:r>
      <w:r w:rsidRPr="001854E5">
        <w:rPr>
          <w:rFonts w:ascii="TimesNewRomanPSMT" w:eastAsia="Times New Roman" w:hAnsi="TimesNewRomanPSMT" w:cs="TimesNewRomanPSMT"/>
          <w:szCs w:val="24"/>
          <w:lang w:eastAsia="ja-JP"/>
        </w:rPr>
        <w:t xml:space="preserve">WPC is a way to classify wind resources based on </w:t>
      </w:r>
      <w:r w:rsidR="003F5ECA" w:rsidRPr="001854E5">
        <w:rPr>
          <w:rFonts w:ascii="TimesNewRomanPSMT" w:eastAsia="Times New Roman" w:hAnsi="TimesNewRomanPSMT" w:cs="TimesNewRomanPSMT"/>
          <w:szCs w:val="24"/>
          <w:lang w:eastAsia="ja-JP"/>
        </w:rPr>
        <w:t>wind power density and wind speed</w:t>
      </w:r>
      <w:r w:rsidRPr="001854E5">
        <w:rPr>
          <w:rFonts w:ascii="TimesNewRomanPSMT" w:eastAsia="Times New Roman" w:hAnsi="TimesNewRomanPSMT" w:cs="TimesNewRomanPSMT"/>
          <w:szCs w:val="24"/>
          <w:lang w:eastAsia="ja-JP"/>
        </w:rPr>
        <w:t xml:space="preserve">. </w:t>
      </w:r>
      <w:r w:rsidR="00150D01" w:rsidRPr="001854E5">
        <w:rPr>
          <w:rFonts w:ascii="TimesNewRomanPSMT" w:eastAsia="Times New Roman" w:hAnsi="TimesNewRomanPSMT" w:cs="TimesNewRomanPSMT"/>
          <w:szCs w:val="24"/>
          <w:lang w:eastAsia="ja-JP"/>
        </w:rPr>
        <w:t xml:space="preserve">Details of </w:t>
      </w:r>
      <w:r w:rsidRPr="001854E5">
        <w:rPr>
          <w:rFonts w:ascii="TimesNewRomanPSMT" w:eastAsia="Times New Roman" w:hAnsi="TimesNewRomanPSMT" w:cs="TimesNewRomanPSMT"/>
          <w:szCs w:val="24"/>
          <w:lang w:eastAsia="ja-JP"/>
        </w:rPr>
        <w:t xml:space="preserve">the wind power classification </w:t>
      </w:r>
      <w:r w:rsidR="00150D01" w:rsidRPr="001854E5">
        <w:rPr>
          <w:rFonts w:ascii="TimesNewRomanPSMT" w:eastAsia="Times New Roman" w:hAnsi="TimesNewRomanPSMT" w:cs="TimesNewRomanPSMT"/>
          <w:szCs w:val="24"/>
          <w:lang w:eastAsia="ja-JP"/>
        </w:rPr>
        <w:t>can be found in Harrison (</w:t>
      </w:r>
      <w:r w:rsidR="008A4246" w:rsidRPr="008A4246">
        <w:rPr>
          <w:rFonts w:ascii="TimesNewRomanPSMT" w:eastAsia="Times New Roman" w:hAnsi="TimesNewRomanPSMT" w:cs="TimesNewRomanPSMT"/>
          <w:i/>
          <w:szCs w:val="24"/>
          <w:lang w:eastAsia="ja-JP"/>
        </w:rPr>
        <w:t>12</w:t>
      </w:r>
      <w:r w:rsidRPr="001854E5">
        <w:rPr>
          <w:rFonts w:ascii="TimesNewRomanPSMT" w:eastAsia="Times New Roman" w:hAnsi="TimesNewRomanPSMT" w:cs="TimesNewRomanPSMT"/>
          <w:szCs w:val="24"/>
          <w:lang w:eastAsia="ja-JP"/>
        </w:rPr>
        <w:t xml:space="preserve">). According to NREL’s website, areas with a </w:t>
      </w:r>
      <w:r w:rsidR="00075319" w:rsidRPr="001854E5">
        <w:rPr>
          <w:rFonts w:ascii="TimesNewRomanPSMT" w:eastAsia="Times New Roman" w:hAnsi="TimesNewRomanPSMT" w:cs="TimesNewRomanPSMT"/>
          <w:szCs w:val="24"/>
          <w:lang w:eastAsia="ja-JP"/>
        </w:rPr>
        <w:t>WPC</w:t>
      </w:r>
      <w:r w:rsidRPr="001854E5">
        <w:rPr>
          <w:rFonts w:ascii="TimesNewRomanPSMT" w:eastAsia="Times New Roman" w:hAnsi="TimesNewRomanPSMT" w:cs="TimesNewRomanPSMT"/>
          <w:szCs w:val="24"/>
          <w:lang w:eastAsia="ja-JP"/>
        </w:rPr>
        <w:t xml:space="preserve"> of 3 or higher are suitable for most utility-scale wind turbine installations; areas with class 2 may be suitable for rural applications; and class 1 areas are usually not suitable for wind turbine applications. We appended the </w:t>
      </w:r>
      <w:r w:rsidR="00075319" w:rsidRPr="001854E5">
        <w:rPr>
          <w:rFonts w:ascii="TimesNewRomanPSMT" w:eastAsia="Times New Roman" w:hAnsi="TimesNewRomanPSMT" w:cs="TimesNewRomanPSMT"/>
          <w:szCs w:val="24"/>
          <w:lang w:eastAsia="ja-JP"/>
        </w:rPr>
        <w:t>WPC</w:t>
      </w:r>
      <w:r w:rsidRPr="001854E5">
        <w:rPr>
          <w:rFonts w:ascii="TimesNewRomanPSMT" w:eastAsia="Times New Roman" w:hAnsi="TimesNewRomanPSMT" w:cs="TimesNewRomanPSMT"/>
          <w:szCs w:val="24"/>
          <w:lang w:eastAsia="ja-JP"/>
        </w:rPr>
        <w:t xml:space="preserve"> index score (based on a range of 1 t</w:t>
      </w:r>
      <w:r w:rsidR="006409AA" w:rsidRPr="001854E5">
        <w:rPr>
          <w:rFonts w:ascii="TimesNewRomanPSMT" w:eastAsia="Times New Roman" w:hAnsi="TimesNewRomanPSMT" w:cs="TimesNewRomanPSMT"/>
          <w:szCs w:val="24"/>
          <w:lang w:eastAsia="ja-JP"/>
        </w:rPr>
        <w:t>o 6) to each census block group.</w:t>
      </w:r>
    </w:p>
    <w:p w14:paraId="444AB215" w14:textId="77777777" w:rsidR="0053737A" w:rsidRPr="0053737A" w:rsidRDefault="0053737A" w:rsidP="0067454F">
      <w:pPr>
        <w:numPr>
          <w:ilvl w:val="0"/>
          <w:numId w:val="13"/>
        </w:numPr>
        <w:jc w:val="both"/>
        <w:rPr>
          <w:rFonts w:ascii="TimesNewRomanPSMT" w:eastAsia="Times New Roman" w:hAnsi="TimesNewRomanPSMT" w:cs="TimesNewRomanPSMT"/>
          <w:szCs w:val="24"/>
          <w:lang w:eastAsia="ja-JP"/>
        </w:rPr>
      </w:pPr>
      <w:r w:rsidRPr="0053737A">
        <w:rPr>
          <w:rFonts w:ascii="TimesNewRomanPSMT" w:eastAsia="Times New Roman" w:hAnsi="TimesNewRomanPSMT" w:cs="TimesNewRomanPSMT"/>
          <w:szCs w:val="24"/>
          <w:lang w:eastAsia="ja-JP"/>
        </w:rPr>
        <w:t xml:space="preserve">A shapefile with all the primary and secondary roads of Texas was </w:t>
      </w:r>
      <w:r w:rsidR="00B40463">
        <w:rPr>
          <w:rFonts w:ascii="TimesNewRomanPSMT" w:eastAsia="Times New Roman" w:hAnsi="TimesNewRomanPSMT" w:cs="TimesNewRomanPSMT"/>
          <w:szCs w:val="24"/>
          <w:lang w:eastAsia="ja-JP"/>
        </w:rPr>
        <w:t xml:space="preserve">also </w:t>
      </w:r>
      <w:r w:rsidRPr="0053737A">
        <w:rPr>
          <w:rFonts w:ascii="TimesNewRomanPSMT" w:eastAsia="Times New Roman" w:hAnsi="TimesNewRomanPSMT" w:cs="TimesNewRomanPSMT"/>
          <w:szCs w:val="24"/>
          <w:lang w:eastAsia="ja-JP"/>
        </w:rPr>
        <w:t xml:space="preserve">downloaded from the </w:t>
      </w:r>
      <w:r w:rsidR="00B40463">
        <w:rPr>
          <w:rFonts w:ascii="TimesNewRomanPSMT" w:eastAsia="Times New Roman" w:hAnsi="TimesNewRomanPSMT" w:cs="TimesNewRomanPSMT"/>
          <w:szCs w:val="24"/>
          <w:lang w:eastAsia="ja-JP"/>
        </w:rPr>
        <w:t xml:space="preserve">U.S. </w:t>
      </w:r>
      <w:r w:rsidRPr="0053737A">
        <w:rPr>
          <w:rFonts w:ascii="TimesNewRomanPSMT" w:eastAsia="Times New Roman" w:hAnsi="TimesNewRomanPSMT" w:cs="TimesNewRomanPSMT"/>
          <w:szCs w:val="24"/>
          <w:lang w:eastAsia="ja-JP"/>
        </w:rPr>
        <w:t>census website. Distances between every census block group centroid and t</w:t>
      </w:r>
      <w:r w:rsidR="00150D01">
        <w:rPr>
          <w:rFonts w:ascii="TimesNewRomanPSMT" w:eastAsia="Times New Roman" w:hAnsi="TimesNewRomanPSMT" w:cs="TimesNewRomanPSMT"/>
          <w:szCs w:val="24"/>
          <w:lang w:eastAsia="ja-JP"/>
        </w:rPr>
        <w:t>he nearest road were calculated</w:t>
      </w:r>
      <w:r w:rsidRPr="0053737A">
        <w:rPr>
          <w:rFonts w:ascii="TimesNewRomanPSMT" w:eastAsia="Times New Roman" w:hAnsi="TimesNewRomanPSMT" w:cs="TimesNewRomanPSMT"/>
          <w:szCs w:val="24"/>
          <w:lang w:eastAsia="ja-JP"/>
        </w:rPr>
        <w:t xml:space="preserve">. </w:t>
      </w:r>
    </w:p>
    <w:p w14:paraId="009E9D2F" w14:textId="77777777" w:rsidR="0053737A" w:rsidRPr="00150D01" w:rsidRDefault="0053737A" w:rsidP="0067454F">
      <w:pPr>
        <w:numPr>
          <w:ilvl w:val="0"/>
          <w:numId w:val="13"/>
        </w:numPr>
        <w:jc w:val="both"/>
        <w:rPr>
          <w:rFonts w:ascii="TimesNewRomanPSMT" w:eastAsia="Times New Roman" w:hAnsi="TimesNewRomanPSMT" w:cs="TimesNewRomanPSMT"/>
          <w:szCs w:val="24"/>
          <w:lang w:eastAsia="ja-JP"/>
        </w:rPr>
      </w:pPr>
      <w:r w:rsidRPr="00150D01">
        <w:rPr>
          <w:rFonts w:ascii="TimesNewRomanPSMT" w:eastAsia="Times New Roman" w:hAnsi="TimesNewRomanPSMT" w:cs="TimesNewRomanPSMT"/>
          <w:szCs w:val="24"/>
          <w:lang w:eastAsia="ja-JP"/>
        </w:rPr>
        <w:t xml:space="preserve">A shapefile with all the primary transmission lines in Texas was constructed </w:t>
      </w:r>
      <w:r w:rsidR="00150D01">
        <w:rPr>
          <w:rFonts w:ascii="TimesNewRomanPSMT" w:eastAsia="Times New Roman" w:hAnsi="TimesNewRomanPSMT" w:cs="TimesNewRomanPSMT"/>
          <w:szCs w:val="24"/>
          <w:lang w:eastAsia="ja-JP"/>
        </w:rPr>
        <w:t>and d</w:t>
      </w:r>
      <w:r w:rsidRPr="00150D01">
        <w:rPr>
          <w:rFonts w:ascii="TimesNewRomanPSMT" w:eastAsia="Times New Roman" w:hAnsi="TimesNewRomanPSMT" w:cs="TimesNewRomanPSMT"/>
          <w:szCs w:val="24"/>
          <w:lang w:eastAsia="ja-JP"/>
        </w:rPr>
        <w:t>istances between every census block group centroid and the nearest tr</w:t>
      </w:r>
      <w:r w:rsidR="00150D01">
        <w:rPr>
          <w:rFonts w:ascii="TimesNewRomanPSMT" w:eastAsia="Times New Roman" w:hAnsi="TimesNewRomanPSMT" w:cs="TimesNewRomanPSMT"/>
          <w:szCs w:val="24"/>
          <w:lang w:eastAsia="ja-JP"/>
        </w:rPr>
        <w:t xml:space="preserve">ansmission line were calculated. </w:t>
      </w:r>
      <w:r w:rsidR="00B40463">
        <w:rPr>
          <w:rFonts w:ascii="TimesNewRomanPSMT" w:eastAsia="Times New Roman" w:hAnsi="TimesNewRomanPSMT" w:cs="TimesNewRomanPSMT"/>
          <w:szCs w:val="24"/>
          <w:lang w:eastAsia="ja-JP"/>
        </w:rPr>
        <w:t>As</w:t>
      </w:r>
      <w:r w:rsidRPr="00150D01">
        <w:rPr>
          <w:rFonts w:ascii="TimesNewRomanPSMT" w:eastAsia="Times New Roman" w:hAnsi="TimesNewRomanPSMT" w:cs="TimesNewRomanPSMT"/>
          <w:szCs w:val="24"/>
          <w:lang w:eastAsia="ja-JP"/>
        </w:rPr>
        <w:t xml:space="preserve"> transmission line locations have changed </w:t>
      </w:r>
      <w:r w:rsidR="00B40463">
        <w:rPr>
          <w:rFonts w:ascii="TimesNewRomanPSMT" w:eastAsia="Times New Roman" w:hAnsi="TimesNewRomanPSMT" w:cs="TimesNewRomanPSMT"/>
          <w:szCs w:val="24"/>
          <w:lang w:eastAsia="ja-JP"/>
        </w:rPr>
        <w:t>over</w:t>
      </w:r>
      <w:r w:rsidR="00B40463" w:rsidRPr="00150D01">
        <w:rPr>
          <w:rFonts w:ascii="TimesNewRomanPSMT" w:eastAsia="Times New Roman" w:hAnsi="TimesNewRomanPSMT" w:cs="TimesNewRomanPSMT"/>
          <w:szCs w:val="24"/>
          <w:lang w:eastAsia="ja-JP"/>
        </w:rPr>
        <w:t xml:space="preserve"> </w:t>
      </w:r>
      <w:r w:rsidRPr="00150D01">
        <w:rPr>
          <w:rFonts w:ascii="TimesNewRomanPSMT" w:eastAsia="Times New Roman" w:hAnsi="TimesNewRomanPSMT" w:cs="TimesNewRomanPSMT"/>
          <w:szCs w:val="24"/>
          <w:lang w:eastAsia="ja-JP"/>
        </w:rPr>
        <w:t xml:space="preserve">time (as mentioned </w:t>
      </w:r>
      <w:r w:rsidR="00B40463">
        <w:rPr>
          <w:rFonts w:ascii="TimesNewRomanPSMT" w:eastAsia="Times New Roman" w:hAnsi="TimesNewRomanPSMT" w:cs="TimesNewRomanPSMT"/>
          <w:szCs w:val="24"/>
          <w:lang w:eastAsia="ja-JP"/>
        </w:rPr>
        <w:t>earlier</w:t>
      </w:r>
      <w:r w:rsidRPr="00150D01">
        <w:rPr>
          <w:rFonts w:ascii="TimesNewRomanPSMT" w:eastAsia="Times New Roman" w:hAnsi="TimesNewRomanPSMT" w:cs="TimesNewRomanPSMT"/>
          <w:szCs w:val="24"/>
          <w:lang w:eastAsia="ja-JP"/>
        </w:rPr>
        <w:t>, transmission lines have expanded significantly since 2013), we constructed two different transmission line map</w:t>
      </w:r>
      <w:r w:rsidR="00B40463">
        <w:rPr>
          <w:rFonts w:ascii="TimesNewRomanPSMT" w:eastAsia="Times New Roman" w:hAnsi="TimesNewRomanPSMT" w:cs="TimesNewRomanPSMT"/>
          <w:szCs w:val="24"/>
          <w:lang w:eastAsia="ja-JP"/>
        </w:rPr>
        <w:t>s:</w:t>
      </w:r>
      <w:r w:rsidRPr="00150D01">
        <w:rPr>
          <w:rFonts w:ascii="TimesNewRomanPSMT" w:eastAsia="Times New Roman" w:hAnsi="TimesNewRomanPSMT" w:cs="TimesNewRomanPSMT"/>
          <w:szCs w:val="24"/>
          <w:lang w:eastAsia="ja-JP"/>
        </w:rPr>
        <w:t xml:space="preserve"> one for years </w:t>
      </w:r>
      <w:r w:rsidR="001D7822">
        <w:rPr>
          <w:rFonts w:ascii="TimesNewRomanPSMT" w:eastAsia="Times New Roman" w:hAnsi="TimesNewRomanPSMT" w:cs="TimesNewRomanPSMT"/>
          <w:szCs w:val="24"/>
          <w:lang w:eastAsia="ja-JP"/>
        </w:rPr>
        <w:t>preceding</w:t>
      </w:r>
      <w:r w:rsidRPr="00150D01">
        <w:rPr>
          <w:rFonts w:ascii="TimesNewRomanPSMT" w:eastAsia="Times New Roman" w:hAnsi="TimesNewRomanPSMT" w:cs="TimesNewRomanPSMT"/>
          <w:szCs w:val="24"/>
          <w:lang w:eastAsia="ja-JP"/>
        </w:rPr>
        <w:t xml:space="preserve"> 2013 and </w:t>
      </w:r>
      <w:r w:rsidR="006409AA" w:rsidRPr="00150D01">
        <w:rPr>
          <w:rFonts w:ascii="TimesNewRomanPSMT" w:eastAsia="Times New Roman" w:hAnsi="TimesNewRomanPSMT" w:cs="TimesNewRomanPSMT"/>
          <w:szCs w:val="24"/>
          <w:lang w:eastAsia="ja-JP"/>
        </w:rPr>
        <w:t>another for 2013 and later.</w:t>
      </w:r>
    </w:p>
    <w:p w14:paraId="6000C779" w14:textId="77777777" w:rsidR="0053737A" w:rsidRDefault="00150D01" w:rsidP="0067454F">
      <w:pPr>
        <w:numPr>
          <w:ilvl w:val="0"/>
          <w:numId w:val="13"/>
        </w:numPr>
        <w:jc w:val="both"/>
        <w:rPr>
          <w:rFonts w:ascii="TimesNewRomanPSMT" w:eastAsia="Times New Roman" w:hAnsi="TimesNewRomanPSMT" w:cs="TimesNewRomanPSMT"/>
          <w:szCs w:val="24"/>
          <w:lang w:eastAsia="ja-JP"/>
        </w:rPr>
      </w:pPr>
      <w:r>
        <w:rPr>
          <w:rFonts w:ascii="TimesNewRomanPSMT" w:eastAsia="Times New Roman" w:hAnsi="TimesNewRomanPSMT" w:cs="TimesNewRomanPSMT"/>
          <w:szCs w:val="24"/>
          <w:lang w:eastAsia="ja-JP"/>
        </w:rPr>
        <w:t>We</w:t>
      </w:r>
      <w:r w:rsidR="0053737A" w:rsidRPr="0053737A">
        <w:rPr>
          <w:rFonts w:ascii="TimesNewRomanPSMT" w:eastAsia="Times New Roman" w:hAnsi="TimesNewRomanPSMT" w:cs="TimesNewRomanPSMT"/>
          <w:szCs w:val="24"/>
          <w:lang w:eastAsia="ja-JP"/>
        </w:rPr>
        <w:t xml:space="preserve"> considered the Competitive Renewable Energy Zones (CREZ) already defined by PUC as potential future location sites for wind farms. PUC identified the top 25 wind regions based on wind capacity and grouped them into four groups: North Texas, West Texas, Central Texas</w:t>
      </w:r>
      <w:r w:rsidR="001D7822">
        <w:rPr>
          <w:rFonts w:ascii="TimesNewRomanPSMT" w:eastAsia="Times New Roman" w:hAnsi="TimesNewRomanPSMT" w:cs="TimesNewRomanPSMT"/>
          <w:szCs w:val="24"/>
          <w:lang w:eastAsia="ja-JP"/>
        </w:rPr>
        <w:t>,</w:t>
      </w:r>
      <w:r w:rsidR="0053737A" w:rsidRPr="0053737A">
        <w:rPr>
          <w:rFonts w:ascii="TimesNewRomanPSMT" w:eastAsia="Times New Roman" w:hAnsi="TimesNewRomanPSMT" w:cs="TimesNewRomanPSMT"/>
          <w:szCs w:val="24"/>
          <w:lang w:eastAsia="ja-JP"/>
        </w:rPr>
        <w:t xml:space="preserve"> and </w:t>
      </w:r>
      <w:r w:rsidR="001D7822">
        <w:rPr>
          <w:rFonts w:ascii="TimesNewRomanPSMT" w:eastAsia="Times New Roman" w:hAnsi="TimesNewRomanPSMT" w:cs="TimesNewRomanPSMT"/>
          <w:szCs w:val="24"/>
          <w:lang w:eastAsia="ja-JP"/>
        </w:rPr>
        <w:t xml:space="preserve">the </w:t>
      </w:r>
      <w:r w:rsidR="0053737A" w:rsidRPr="0053737A">
        <w:rPr>
          <w:rFonts w:ascii="TimesNewRomanPSMT" w:eastAsia="Times New Roman" w:hAnsi="TimesNewRomanPSMT" w:cs="TimesNewRomanPSMT"/>
          <w:szCs w:val="24"/>
          <w:lang w:eastAsia="ja-JP"/>
        </w:rPr>
        <w:t>Panhandle. We digitized the CREZ map found on</w:t>
      </w:r>
      <w:r w:rsidR="001D7822">
        <w:rPr>
          <w:rFonts w:ascii="TimesNewRomanPSMT" w:eastAsia="Times New Roman" w:hAnsi="TimesNewRomanPSMT" w:cs="TimesNewRomanPSMT"/>
          <w:szCs w:val="24"/>
          <w:lang w:eastAsia="ja-JP"/>
        </w:rPr>
        <w:t xml:space="preserve"> the </w:t>
      </w:r>
      <w:r w:rsidR="0053737A" w:rsidRPr="0053737A">
        <w:rPr>
          <w:rFonts w:ascii="TimesNewRomanPSMT" w:eastAsia="Times New Roman" w:hAnsi="TimesNewRomanPSMT" w:cs="TimesNewRomanPSMT"/>
          <w:szCs w:val="24"/>
          <w:lang w:eastAsia="ja-JP"/>
        </w:rPr>
        <w:t>PUC website and classified each of our zones (census block groups) in</w:t>
      </w:r>
      <w:r w:rsidR="001D7822">
        <w:rPr>
          <w:rFonts w:ascii="TimesNewRomanPSMT" w:eastAsia="Times New Roman" w:hAnsi="TimesNewRomanPSMT" w:cs="TimesNewRomanPSMT"/>
          <w:szCs w:val="24"/>
          <w:lang w:eastAsia="ja-JP"/>
        </w:rPr>
        <w:t>to</w:t>
      </w:r>
      <w:r w:rsidR="0053737A" w:rsidRPr="0053737A">
        <w:rPr>
          <w:rFonts w:ascii="TimesNewRomanPSMT" w:eastAsia="Times New Roman" w:hAnsi="TimesNewRomanPSMT" w:cs="TimesNewRomanPSMT"/>
          <w:szCs w:val="24"/>
          <w:lang w:eastAsia="ja-JP"/>
        </w:rPr>
        <w:t xml:space="preserve"> one of these four areas.</w:t>
      </w:r>
    </w:p>
    <w:p w14:paraId="18F15E07" w14:textId="77777777" w:rsidR="002634D8" w:rsidRPr="002634D8" w:rsidRDefault="002634D8" w:rsidP="0067454F">
      <w:pPr>
        <w:ind w:left="720"/>
        <w:jc w:val="both"/>
        <w:rPr>
          <w:rFonts w:ascii="TimesNewRomanPSMT" w:eastAsia="Times New Roman" w:hAnsi="TimesNewRomanPSMT" w:cs="TimesNewRomanPSMT"/>
          <w:szCs w:val="24"/>
          <w:lang w:eastAsia="ja-JP"/>
        </w:rPr>
      </w:pPr>
    </w:p>
    <w:p w14:paraId="7EB0F527" w14:textId="77777777" w:rsidR="00A3008B" w:rsidRPr="006C202C" w:rsidRDefault="00620F92" w:rsidP="00C6569B">
      <w:pPr>
        <w:pStyle w:val="Heading3"/>
        <w:spacing w:line="240" w:lineRule="auto"/>
        <w:rPr>
          <w:bCs/>
          <w:color w:val="000000"/>
          <w:szCs w:val="24"/>
        </w:rPr>
      </w:pPr>
      <w:r>
        <w:rPr>
          <w:bCs/>
          <w:color w:val="000000"/>
          <w:szCs w:val="24"/>
        </w:rPr>
        <w:t>3</w:t>
      </w:r>
      <w:r w:rsidR="00A3008B" w:rsidRPr="006C202C">
        <w:rPr>
          <w:bCs/>
          <w:color w:val="000000"/>
          <w:szCs w:val="24"/>
        </w:rPr>
        <w:t>.</w:t>
      </w:r>
      <w:r w:rsidR="006C202C" w:rsidRPr="006C202C">
        <w:rPr>
          <w:bCs/>
          <w:color w:val="000000"/>
          <w:szCs w:val="24"/>
        </w:rPr>
        <w:t>1.</w:t>
      </w:r>
      <w:r w:rsidR="00A3008B" w:rsidRPr="006C202C">
        <w:rPr>
          <w:bCs/>
          <w:color w:val="000000"/>
          <w:szCs w:val="24"/>
        </w:rPr>
        <w:t xml:space="preserve">3. </w:t>
      </w:r>
      <w:r w:rsidR="00A3008B" w:rsidRPr="006C202C">
        <w:t>Model Formulation and Estimation</w:t>
      </w:r>
    </w:p>
    <w:p w14:paraId="65B9C55D" w14:textId="56D012D8" w:rsidR="00EB589A" w:rsidRPr="00EB589A" w:rsidRDefault="00364703" w:rsidP="00C6569B">
      <w:pPr>
        <w:jc w:val="both"/>
        <w:rPr>
          <w:bCs/>
          <w:color w:val="000000"/>
          <w:szCs w:val="24"/>
        </w:rPr>
      </w:pPr>
      <w:r>
        <w:rPr>
          <w:szCs w:val="24"/>
        </w:rPr>
        <w:t>T</w:t>
      </w:r>
      <w:r w:rsidR="00EB589A">
        <w:rPr>
          <w:szCs w:val="24"/>
        </w:rPr>
        <w:t>o identify future wind farm locations</w:t>
      </w:r>
      <w:r w:rsidR="00EB589A" w:rsidRPr="00EB589A">
        <w:rPr>
          <w:bCs/>
          <w:color w:val="000000"/>
          <w:szCs w:val="24"/>
        </w:rPr>
        <w:t xml:space="preserve">, </w:t>
      </w:r>
      <w:r w:rsidR="008757E0">
        <w:rPr>
          <w:bCs/>
          <w:color w:val="000000"/>
          <w:szCs w:val="24"/>
        </w:rPr>
        <w:t>we</w:t>
      </w:r>
      <w:r w:rsidR="00EB589A" w:rsidRPr="00EB589A">
        <w:rPr>
          <w:bCs/>
          <w:color w:val="000000"/>
          <w:szCs w:val="24"/>
        </w:rPr>
        <w:t xml:space="preserve"> studied current Texas wind farm locations to identify any siting trends. </w:t>
      </w:r>
      <w:r w:rsidR="001D7822">
        <w:rPr>
          <w:bCs/>
          <w:color w:val="000000"/>
          <w:szCs w:val="24"/>
        </w:rPr>
        <w:t>Anticipating</w:t>
      </w:r>
      <w:r w:rsidR="00EB589A" w:rsidRPr="00EB589A">
        <w:rPr>
          <w:bCs/>
          <w:color w:val="000000"/>
          <w:szCs w:val="24"/>
        </w:rPr>
        <w:t xml:space="preserve"> that such trends can differ in each zone according to zone characteristics</w:t>
      </w:r>
      <w:r w:rsidR="001D7822">
        <w:rPr>
          <w:bCs/>
          <w:color w:val="000000"/>
          <w:szCs w:val="24"/>
        </w:rPr>
        <w:t>,</w:t>
      </w:r>
      <w:r w:rsidR="00EB589A" w:rsidRPr="00EB589A">
        <w:rPr>
          <w:bCs/>
          <w:color w:val="000000"/>
          <w:szCs w:val="24"/>
        </w:rPr>
        <w:t xml:space="preserve"> we partitioned the zones into categories based on the trends identified. Our categories are defined by WPC and the CREZs. We defined a dummy variable (</w:t>
      </w:r>
      <w:r w:rsidR="00EB589A" w:rsidRPr="00EB589A">
        <w:rPr>
          <w:bCs/>
          <w:i/>
          <w:color w:val="000000"/>
          <w:szCs w:val="24"/>
        </w:rPr>
        <w:t>WPC3</w:t>
      </w:r>
      <w:r w:rsidR="00EB589A" w:rsidRPr="00EB589A">
        <w:rPr>
          <w:bCs/>
          <w:color w:val="000000"/>
          <w:szCs w:val="24"/>
        </w:rPr>
        <w:t xml:space="preserve">) that takes the value of 1 if the WPC of zone </w:t>
      </w:r>
      <w:r w:rsidR="00EB589A" w:rsidRPr="00EB589A">
        <w:rPr>
          <w:bCs/>
          <w:i/>
          <w:color w:val="000000"/>
          <w:szCs w:val="24"/>
        </w:rPr>
        <w:t>q</w:t>
      </w:r>
      <w:r w:rsidR="00EB589A" w:rsidRPr="00EB589A">
        <w:rPr>
          <w:bCs/>
          <w:color w:val="000000"/>
          <w:szCs w:val="24"/>
        </w:rPr>
        <w:t xml:space="preserve"> is 3 or higher; otherwise its value is 0. We also used the four </w:t>
      </w:r>
      <w:r w:rsidR="00B7052E">
        <w:rPr>
          <w:bCs/>
          <w:color w:val="000000"/>
          <w:szCs w:val="24"/>
        </w:rPr>
        <w:t xml:space="preserve">CREZ </w:t>
      </w:r>
      <w:r w:rsidR="00EB589A" w:rsidRPr="00EB589A">
        <w:rPr>
          <w:bCs/>
          <w:color w:val="000000"/>
          <w:szCs w:val="24"/>
        </w:rPr>
        <w:t>groups. Three of these four groups</w:t>
      </w:r>
      <w:r w:rsidR="005E7D56">
        <w:rPr>
          <w:bCs/>
          <w:color w:val="000000"/>
          <w:szCs w:val="24"/>
        </w:rPr>
        <w:t>—</w:t>
      </w:r>
      <w:r w:rsidR="00EB589A" w:rsidRPr="00EB589A">
        <w:rPr>
          <w:bCs/>
          <w:color w:val="000000"/>
          <w:szCs w:val="24"/>
        </w:rPr>
        <w:t>North Texas, Central Texas</w:t>
      </w:r>
      <w:r w:rsidR="00AC3CBF">
        <w:rPr>
          <w:bCs/>
          <w:color w:val="000000"/>
          <w:szCs w:val="24"/>
        </w:rPr>
        <w:t>,</w:t>
      </w:r>
      <w:r w:rsidR="00EB589A" w:rsidRPr="00EB589A">
        <w:rPr>
          <w:bCs/>
          <w:color w:val="000000"/>
          <w:szCs w:val="24"/>
        </w:rPr>
        <w:t xml:space="preserve"> and </w:t>
      </w:r>
      <w:r w:rsidR="00AC3CBF">
        <w:rPr>
          <w:bCs/>
          <w:color w:val="000000"/>
          <w:szCs w:val="24"/>
        </w:rPr>
        <w:t xml:space="preserve">the </w:t>
      </w:r>
      <w:r w:rsidR="00EB589A" w:rsidRPr="00EB589A">
        <w:rPr>
          <w:bCs/>
          <w:color w:val="000000"/>
          <w:szCs w:val="24"/>
        </w:rPr>
        <w:t>Panhandle</w:t>
      </w:r>
      <w:r w:rsidR="005E7D56">
        <w:rPr>
          <w:bCs/>
          <w:color w:val="000000"/>
          <w:szCs w:val="24"/>
        </w:rPr>
        <w:t>—</w:t>
      </w:r>
      <w:r w:rsidR="00EB589A" w:rsidRPr="00EB589A">
        <w:rPr>
          <w:bCs/>
          <w:color w:val="000000"/>
          <w:szCs w:val="24"/>
        </w:rPr>
        <w:t xml:space="preserve">are relatively homogenous regarding </w:t>
      </w:r>
      <w:r w:rsidR="00EB589A" w:rsidRPr="00EB589A">
        <w:rPr>
          <w:bCs/>
          <w:i/>
          <w:color w:val="000000"/>
          <w:szCs w:val="24"/>
        </w:rPr>
        <w:t>WPC3</w:t>
      </w:r>
      <w:r w:rsidR="00EB589A" w:rsidRPr="00EB589A">
        <w:rPr>
          <w:bCs/>
          <w:color w:val="000000"/>
          <w:szCs w:val="24"/>
        </w:rPr>
        <w:t xml:space="preserve">, i.e., almost 90% of the zones included in each of the groups have almost the same value for the </w:t>
      </w:r>
      <w:r w:rsidR="00EB589A" w:rsidRPr="00EB589A">
        <w:rPr>
          <w:bCs/>
          <w:i/>
          <w:color w:val="000000"/>
          <w:szCs w:val="24"/>
        </w:rPr>
        <w:t>WPC3</w:t>
      </w:r>
      <w:r w:rsidR="00EB589A" w:rsidRPr="00EB589A">
        <w:rPr>
          <w:bCs/>
          <w:color w:val="000000"/>
          <w:szCs w:val="24"/>
        </w:rPr>
        <w:t xml:space="preserve"> variable. The only group that shows a significant difference in the </w:t>
      </w:r>
      <w:r w:rsidR="00EB589A" w:rsidRPr="00EB589A">
        <w:rPr>
          <w:bCs/>
          <w:i/>
          <w:color w:val="000000"/>
          <w:szCs w:val="24"/>
        </w:rPr>
        <w:t>WPC3</w:t>
      </w:r>
      <w:r w:rsidR="00EB589A" w:rsidRPr="00EB589A">
        <w:rPr>
          <w:bCs/>
          <w:color w:val="000000"/>
          <w:szCs w:val="24"/>
        </w:rPr>
        <w:t xml:space="preserve"> variable among zones is West Texas. So we defined five categories for </w:t>
      </w:r>
      <w:r w:rsidR="00EB589A" w:rsidRPr="00EB589A">
        <w:rPr>
          <w:bCs/>
          <w:color w:val="000000"/>
          <w:szCs w:val="24"/>
        </w:rPr>
        <w:lastRenderedPageBreak/>
        <w:t>our zones: (1) West Texas with low WPC</w:t>
      </w:r>
      <w:r w:rsidR="00030FB7">
        <w:rPr>
          <w:bCs/>
          <w:color w:val="000000"/>
          <w:szCs w:val="24"/>
        </w:rPr>
        <w:t xml:space="preserve"> (</w:t>
      </w:r>
      <w:r w:rsidR="00030FB7" w:rsidRPr="00030FB7">
        <w:rPr>
          <w:bCs/>
          <w:i/>
          <w:color w:val="000000"/>
          <w:szCs w:val="24"/>
        </w:rPr>
        <w:t>WPC3</w:t>
      </w:r>
      <w:r w:rsidR="00030FB7">
        <w:rPr>
          <w:bCs/>
          <w:color w:val="000000"/>
          <w:szCs w:val="24"/>
        </w:rPr>
        <w:t>=0)</w:t>
      </w:r>
      <w:r w:rsidR="00EB589A" w:rsidRPr="00EB589A">
        <w:rPr>
          <w:bCs/>
          <w:color w:val="000000"/>
          <w:szCs w:val="24"/>
        </w:rPr>
        <w:t>, (2) West Texas with high WPC</w:t>
      </w:r>
      <w:r w:rsidR="00030FB7">
        <w:rPr>
          <w:bCs/>
          <w:color w:val="000000"/>
          <w:szCs w:val="24"/>
        </w:rPr>
        <w:t xml:space="preserve"> (</w:t>
      </w:r>
      <w:r w:rsidR="00030FB7" w:rsidRPr="00030FB7">
        <w:rPr>
          <w:bCs/>
          <w:i/>
          <w:color w:val="000000"/>
          <w:szCs w:val="24"/>
        </w:rPr>
        <w:t>WPC3</w:t>
      </w:r>
      <w:r w:rsidR="00030FB7">
        <w:rPr>
          <w:bCs/>
          <w:color w:val="000000"/>
          <w:szCs w:val="24"/>
        </w:rPr>
        <w:t>=1)</w:t>
      </w:r>
      <w:r w:rsidR="00EB589A" w:rsidRPr="00EB589A">
        <w:rPr>
          <w:bCs/>
          <w:color w:val="000000"/>
          <w:szCs w:val="24"/>
        </w:rPr>
        <w:t xml:space="preserve">, (3) North Texas, (4) </w:t>
      </w:r>
      <w:r w:rsidR="0062500C">
        <w:rPr>
          <w:bCs/>
          <w:color w:val="000000"/>
          <w:szCs w:val="24"/>
        </w:rPr>
        <w:t xml:space="preserve">the </w:t>
      </w:r>
      <w:r w:rsidR="00EB589A" w:rsidRPr="00EB589A">
        <w:rPr>
          <w:bCs/>
          <w:color w:val="000000"/>
          <w:szCs w:val="24"/>
        </w:rPr>
        <w:t>Panhandle, and (5) Central Texas. The trends for the</w:t>
      </w:r>
      <w:r w:rsidR="00560DFF">
        <w:rPr>
          <w:bCs/>
          <w:color w:val="000000"/>
          <w:szCs w:val="24"/>
        </w:rPr>
        <w:t xml:space="preserve"> difference of</w:t>
      </w:r>
      <w:r w:rsidR="00EB589A" w:rsidRPr="00EB589A">
        <w:rPr>
          <w:bCs/>
          <w:color w:val="000000"/>
          <w:szCs w:val="24"/>
        </w:rPr>
        <w:t xml:space="preserve"> amount of energy installed during a particular year in a particular zone and the energy installed in the previous year for that zone</w:t>
      </w:r>
      <w:r w:rsidR="007320A3">
        <w:rPr>
          <w:bCs/>
          <w:color w:val="000000"/>
          <w:szCs w:val="24"/>
        </w:rPr>
        <w:t xml:space="preserve">, averaged across all zones in each of the five </w:t>
      </w:r>
      <w:r w:rsidR="00BC704C">
        <w:rPr>
          <w:bCs/>
          <w:color w:val="000000"/>
          <w:szCs w:val="24"/>
        </w:rPr>
        <w:t xml:space="preserve">zone </w:t>
      </w:r>
      <w:r w:rsidR="007320A3">
        <w:rPr>
          <w:bCs/>
          <w:color w:val="000000"/>
          <w:szCs w:val="24"/>
        </w:rPr>
        <w:t>categories,</w:t>
      </w:r>
      <w:r w:rsidR="00EB589A" w:rsidRPr="00EB589A">
        <w:rPr>
          <w:bCs/>
          <w:color w:val="000000"/>
          <w:szCs w:val="24"/>
        </w:rPr>
        <w:t xml:space="preserve"> are represented</w:t>
      </w:r>
      <w:r w:rsidR="00274BF7">
        <w:rPr>
          <w:bCs/>
          <w:color w:val="000000"/>
          <w:szCs w:val="24"/>
        </w:rPr>
        <w:t xml:space="preserve"> in a graph that can be found here:</w:t>
      </w:r>
      <w:r w:rsidR="00C54F7E">
        <w:rPr>
          <w:bCs/>
          <w:color w:val="000000"/>
          <w:szCs w:val="24"/>
        </w:rPr>
        <w:t xml:space="preserve"> </w:t>
      </w:r>
      <w:hyperlink r:id="rId17" w:history="1">
        <w:r w:rsidR="00C54F7E" w:rsidRPr="001D64F7">
          <w:rPr>
            <w:rStyle w:val="Hyperlink"/>
            <w:bCs/>
            <w:szCs w:val="24"/>
          </w:rPr>
          <w:t>https://drive.google.com/open?id=0B6qUEbsZcZ-IQVo2MjBCbVlXWlE</w:t>
        </w:r>
      </w:hyperlink>
      <w:r w:rsidR="00EB589A" w:rsidRPr="00EB589A">
        <w:rPr>
          <w:bCs/>
          <w:color w:val="000000"/>
          <w:szCs w:val="24"/>
        </w:rPr>
        <w:t>. We can see that West Texas is where the first wind farms were installed (1990s and early 2000s). Then, after the introduction</w:t>
      </w:r>
      <w:r w:rsidR="00AE65F2">
        <w:rPr>
          <w:bCs/>
          <w:color w:val="000000"/>
          <w:szCs w:val="24"/>
        </w:rPr>
        <w:t xml:space="preserve"> of Senate Bill 20 of RPS</w:t>
      </w:r>
      <w:r w:rsidR="00EB589A" w:rsidRPr="00EB589A">
        <w:rPr>
          <w:bCs/>
          <w:color w:val="000000"/>
          <w:szCs w:val="24"/>
        </w:rPr>
        <w:t xml:space="preserve"> in 2005, the Panhandle and North Texas started to gain in the installation of wind farms. Finally, Central Texas </w:t>
      </w:r>
      <w:r w:rsidR="000E552C">
        <w:rPr>
          <w:bCs/>
          <w:color w:val="000000"/>
          <w:szCs w:val="24"/>
        </w:rPr>
        <w:t>entered</w:t>
      </w:r>
      <w:r w:rsidR="00EB589A" w:rsidRPr="00EB589A">
        <w:rPr>
          <w:bCs/>
          <w:color w:val="000000"/>
          <w:szCs w:val="24"/>
        </w:rPr>
        <w:t xml:space="preserve"> </w:t>
      </w:r>
      <w:r w:rsidR="000E552C">
        <w:rPr>
          <w:bCs/>
          <w:color w:val="000000"/>
          <w:szCs w:val="24"/>
        </w:rPr>
        <w:t xml:space="preserve">the </w:t>
      </w:r>
      <w:r w:rsidR="00EB589A" w:rsidRPr="00EB589A">
        <w:rPr>
          <w:bCs/>
          <w:color w:val="000000"/>
          <w:szCs w:val="24"/>
        </w:rPr>
        <w:t xml:space="preserve">picture only after 2008. We also can see that the five </w:t>
      </w:r>
      <w:r w:rsidR="00086F61">
        <w:rPr>
          <w:bCs/>
          <w:color w:val="000000"/>
          <w:szCs w:val="24"/>
        </w:rPr>
        <w:t xml:space="preserve">zone </w:t>
      </w:r>
      <w:r w:rsidR="00EB589A" w:rsidRPr="00EB589A">
        <w:rPr>
          <w:bCs/>
          <w:color w:val="000000"/>
          <w:szCs w:val="24"/>
        </w:rPr>
        <w:t xml:space="preserve">categories reveal a significant increase </w:t>
      </w:r>
      <w:r w:rsidR="003C50BD">
        <w:rPr>
          <w:bCs/>
          <w:color w:val="000000"/>
          <w:szCs w:val="24"/>
        </w:rPr>
        <w:t>in the</w:t>
      </w:r>
      <w:r w:rsidR="003C50BD" w:rsidRPr="00EB589A">
        <w:rPr>
          <w:bCs/>
          <w:color w:val="000000"/>
          <w:szCs w:val="24"/>
        </w:rPr>
        <w:t xml:space="preserve"> </w:t>
      </w:r>
      <w:r w:rsidR="00EB589A" w:rsidRPr="00EB589A">
        <w:rPr>
          <w:bCs/>
          <w:color w:val="000000"/>
          <w:szCs w:val="24"/>
        </w:rPr>
        <w:t xml:space="preserve">amount of energy </w:t>
      </w:r>
      <w:r w:rsidR="00B00564">
        <w:rPr>
          <w:bCs/>
          <w:color w:val="000000"/>
          <w:szCs w:val="24"/>
        </w:rPr>
        <w:t xml:space="preserve">already </w:t>
      </w:r>
      <w:r w:rsidR="00EB589A" w:rsidRPr="00EB589A">
        <w:rPr>
          <w:bCs/>
          <w:color w:val="000000"/>
          <w:szCs w:val="24"/>
        </w:rPr>
        <w:t xml:space="preserve">or soon to be installed </w:t>
      </w:r>
      <w:r w:rsidR="00B00564">
        <w:rPr>
          <w:bCs/>
          <w:color w:val="000000"/>
          <w:szCs w:val="24"/>
        </w:rPr>
        <w:t>as of</w:t>
      </w:r>
      <w:r w:rsidR="00B00564" w:rsidRPr="00EB589A">
        <w:rPr>
          <w:bCs/>
          <w:color w:val="000000"/>
          <w:szCs w:val="24"/>
        </w:rPr>
        <w:t xml:space="preserve"> </w:t>
      </w:r>
      <w:r w:rsidR="00EB589A" w:rsidRPr="00EB589A">
        <w:rPr>
          <w:bCs/>
          <w:color w:val="000000"/>
          <w:szCs w:val="24"/>
        </w:rPr>
        <w:t xml:space="preserve">2015, highlighting the importance of wind power energy in Texas. However, the magnitude of this increment differs in each zone category, with the Panhandle </w:t>
      </w:r>
      <w:r w:rsidR="00086F61">
        <w:rPr>
          <w:bCs/>
          <w:color w:val="000000"/>
          <w:szCs w:val="24"/>
        </w:rPr>
        <w:t>having</w:t>
      </w:r>
      <w:r w:rsidR="00EB589A" w:rsidRPr="00EB589A">
        <w:rPr>
          <w:bCs/>
          <w:color w:val="000000"/>
          <w:szCs w:val="24"/>
        </w:rPr>
        <w:t xml:space="preserve"> the most remarkabl</w:t>
      </w:r>
      <w:r w:rsidR="00086F61">
        <w:rPr>
          <w:bCs/>
          <w:color w:val="000000"/>
          <w:szCs w:val="24"/>
        </w:rPr>
        <w:t>y large</w:t>
      </w:r>
      <w:r w:rsidR="00EB589A" w:rsidRPr="00EB589A">
        <w:rPr>
          <w:bCs/>
          <w:color w:val="000000"/>
          <w:szCs w:val="24"/>
        </w:rPr>
        <w:t xml:space="preserve"> increment and West Texas</w:t>
      </w:r>
      <w:r w:rsidR="00086F61">
        <w:rPr>
          <w:bCs/>
          <w:color w:val="000000"/>
          <w:szCs w:val="24"/>
        </w:rPr>
        <w:t>—</w:t>
      </w:r>
      <w:r w:rsidR="00EB589A" w:rsidRPr="00EB589A">
        <w:rPr>
          <w:bCs/>
          <w:color w:val="000000"/>
          <w:szCs w:val="24"/>
        </w:rPr>
        <w:t>with both WPC levels</w:t>
      </w:r>
      <w:r w:rsidR="00086F61">
        <w:rPr>
          <w:bCs/>
          <w:color w:val="000000"/>
          <w:szCs w:val="24"/>
        </w:rPr>
        <w:t>—</w:t>
      </w:r>
      <w:r w:rsidR="00EB589A" w:rsidRPr="00EB589A">
        <w:rPr>
          <w:bCs/>
          <w:color w:val="000000"/>
          <w:szCs w:val="24"/>
        </w:rPr>
        <w:t>the smallest. Several other variables were tested for possible inclusion in our categorization, such as land use and distance to urban roads, but were not included as they did not show a significant effect on trends</w:t>
      </w:r>
      <w:r w:rsidR="00480718">
        <w:rPr>
          <w:bCs/>
          <w:color w:val="000000"/>
          <w:szCs w:val="24"/>
        </w:rPr>
        <w:t xml:space="preserve">. </w:t>
      </w:r>
      <w:r w:rsidR="00EB589A" w:rsidRPr="00EB589A">
        <w:rPr>
          <w:bCs/>
          <w:color w:val="000000"/>
          <w:szCs w:val="24"/>
        </w:rPr>
        <w:t xml:space="preserve">Since we wanted to predict the trend based on earlier data points, we used a </w:t>
      </w:r>
      <w:r w:rsidR="00027D23">
        <w:rPr>
          <w:bCs/>
          <w:color w:val="000000"/>
          <w:szCs w:val="24"/>
        </w:rPr>
        <w:t>time-series based</w:t>
      </w:r>
      <w:r w:rsidR="00027D23" w:rsidRPr="00EB589A">
        <w:rPr>
          <w:bCs/>
          <w:color w:val="000000"/>
          <w:szCs w:val="24"/>
        </w:rPr>
        <w:t xml:space="preserve"> </w:t>
      </w:r>
      <w:r w:rsidR="00EB589A" w:rsidRPr="00EB589A">
        <w:rPr>
          <w:bCs/>
          <w:color w:val="000000"/>
          <w:szCs w:val="24"/>
        </w:rPr>
        <w:t xml:space="preserve">regression framework to estimate the difference between the amount of </w:t>
      </w:r>
      <w:r w:rsidR="00480718">
        <w:rPr>
          <w:bCs/>
          <w:color w:val="000000"/>
          <w:szCs w:val="24"/>
        </w:rPr>
        <w:t xml:space="preserve">wind </w:t>
      </w:r>
      <w:r w:rsidR="00EB589A" w:rsidRPr="00EB589A">
        <w:rPr>
          <w:bCs/>
          <w:color w:val="000000"/>
          <w:szCs w:val="24"/>
        </w:rPr>
        <w:t xml:space="preserve">energy </w:t>
      </w:r>
      <w:proofErr w:type="spellStart"/>
      <w:r w:rsidR="00480718" w:rsidRPr="00EB589A">
        <w:rPr>
          <w:bCs/>
          <w:i/>
          <w:color w:val="000000"/>
          <w:szCs w:val="24"/>
        </w:rPr>
        <w:t>y</w:t>
      </w:r>
      <w:r w:rsidR="00480718" w:rsidRPr="00EB589A">
        <w:rPr>
          <w:bCs/>
          <w:i/>
          <w:color w:val="000000"/>
          <w:szCs w:val="24"/>
          <w:vertAlign w:val="subscript"/>
        </w:rPr>
        <w:t>qt</w:t>
      </w:r>
      <w:proofErr w:type="spellEnd"/>
      <w:r w:rsidR="00480718">
        <w:rPr>
          <w:bCs/>
          <w:color w:val="000000"/>
          <w:szCs w:val="24"/>
        </w:rPr>
        <w:t xml:space="preserve">  (in megawatts) </w:t>
      </w:r>
      <w:r w:rsidR="00EB589A" w:rsidRPr="00EB589A">
        <w:rPr>
          <w:bCs/>
          <w:color w:val="000000"/>
          <w:szCs w:val="24"/>
        </w:rPr>
        <w:t xml:space="preserve">installed during a particular year </w:t>
      </w:r>
      <w:r w:rsidR="00480718" w:rsidRPr="00EB589A">
        <w:rPr>
          <w:bCs/>
          <w:i/>
          <w:color w:val="000000"/>
          <w:szCs w:val="24"/>
        </w:rPr>
        <w:t>t</w:t>
      </w:r>
      <w:r w:rsidR="00480718" w:rsidRPr="00EB589A">
        <w:rPr>
          <w:bCs/>
          <w:color w:val="000000"/>
          <w:szCs w:val="24"/>
        </w:rPr>
        <w:t xml:space="preserve"> </w:t>
      </w:r>
      <w:r w:rsidR="00EB589A" w:rsidRPr="00EB589A">
        <w:rPr>
          <w:bCs/>
          <w:color w:val="000000"/>
          <w:szCs w:val="24"/>
        </w:rPr>
        <w:t xml:space="preserve">in a particular zone </w:t>
      </w:r>
      <w:r w:rsidR="00480718" w:rsidRPr="00EB589A">
        <w:rPr>
          <w:bCs/>
          <w:i/>
          <w:color w:val="000000"/>
          <w:szCs w:val="24"/>
        </w:rPr>
        <w:t>q</w:t>
      </w:r>
      <w:r w:rsidR="00480718">
        <w:rPr>
          <w:bCs/>
          <w:color w:val="000000"/>
          <w:szCs w:val="24"/>
        </w:rPr>
        <w:t xml:space="preserve">, </w:t>
      </w:r>
      <w:r w:rsidR="00EB589A" w:rsidRPr="00EB589A">
        <w:rPr>
          <w:bCs/>
          <w:color w:val="000000"/>
          <w:szCs w:val="24"/>
        </w:rPr>
        <w:t xml:space="preserve">and the </w:t>
      </w:r>
      <w:r w:rsidR="00480718">
        <w:rPr>
          <w:bCs/>
          <w:color w:val="000000"/>
          <w:szCs w:val="24"/>
        </w:rPr>
        <w:t xml:space="preserve">amount of wind </w:t>
      </w:r>
      <w:r w:rsidR="00EB589A" w:rsidRPr="00EB589A">
        <w:rPr>
          <w:bCs/>
          <w:color w:val="000000"/>
          <w:szCs w:val="24"/>
        </w:rPr>
        <w:t xml:space="preserve">energy </w:t>
      </w:r>
      <w:r w:rsidR="00480718" w:rsidRPr="00EB589A">
        <w:rPr>
          <w:bCs/>
          <w:i/>
          <w:color w:val="000000"/>
          <w:szCs w:val="24"/>
        </w:rPr>
        <w:t>y</w:t>
      </w:r>
      <w:r w:rsidR="00480718" w:rsidRPr="00EB589A">
        <w:rPr>
          <w:bCs/>
          <w:i/>
          <w:color w:val="000000"/>
          <w:szCs w:val="24"/>
          <w:vertAlign w:val="subscript"/>
        </w:rPr>
        <w:t>qt</w:t>
      </w:r>
      <w:r w:rsidR="00480718" w:rsidRPr="00C6569B">
        <w:rPr>
          <w:bCs/>
          <w:color w:val="000000"/>
          <w:szCs w:val="24"/>
          <w:vertAlign w:val="subscript"/>
        </w:rPr>
        <w:t>-1</w:t>
      </w:r>
      <w:r w:rsidR="00480718">
        <w:rPr>
          <w:bCs/>
          <w:i/>
          <w:color w:val="000000"/>
          <w:szCs w:val="24"/>
          <w:vertAlign w:val="subscript"/>
        </w:rPr>
        <w:t xml:space="preserve"> </w:t>
      </w:r>
      <w:r w:rsidR="00EB589A" w:rsidRPr="00EB589A">
        <w:rPr>
          <w:bCs/>
          <w:color w:val="000000"/>
          <w:szCs w:val="24"/>
        </w:rPr>
        <w:t>installed in the previous year for that zone.</w:t>
      </w:r>
      <w:r w:rsidR="00480718">
        <w:rPr>
          <w:bCs/>
          <w:color w:val="000000"/>
          <w:szCs w:val="24"/>
        </w:rPr>
        <w:t xml:space="preserve"> The regression has the </w:t>
      </w:r>
      <w:r w:rsidR="00EB589A" w:rsidRPr="00EB589A">
        <w:rPr>
          <w:bCs/>
          <w:color w:val="000000"/>
          <w:szCs w:val="24"/>
        </w:rPr>
        <w:t>following form</w:t>
      </w:r>
      <w:r w:rsidR="00480718">
        <w:rPr>
          <w:bCs/>
          <w:color w:val="000000"/>
          <w:szCs w:val="24"/>
        </w:rPr>
        <w:t xml:space="preserve"> (several earlier specifications were also considered, but the one below provided the best data fit)</w:t>
      </w:r>
      <w:r w:rsidR="00EB589A" w:rsidRPr="00EB589A">
        <w:rPr>
          <w:bCs/>
          <w:color w:val="000000"/>
          <w:szCs w:val="24"/>
        </w:rPr>
        <w:t>:</w:t>
      </w:r>
    </w:p>
    <w:p w14:paraId="22D565B7" w14:textId="77777777" w:rsidR="00480718" w:rsidRDefault="00480718" w:rsidP="0067454F">
      <w:pPr>
        <w:jc w:val="both"/>
        <w:rPr>
          <w:bCs/>
          <w:color w:val="000000"/>
          <w:sz w:val="20"/>
        </w:rPr>
      </w:pPr>
    </w:p>
    <w:p w14:paraId="6FABEAA7" w14:textId="77777777" w:rsidR="00480718" w:rsidRPr="00EB589A" w:rsidRDefault="00EF05E3" w:rsidP="0067454F">
      <w:pPr>
        <w:jc w:val="both"/>
        <w:rPr>
          <w:bCs/>
          <w:color w:val="000000"/>
          <w:szCs w:val="24"/>
        </w:rPr>
      </w:pPr>
      <m:oMath>
        <m:sSub>
          <m:sSubPr>
            <m:ctrlPr>
              <w:rPr>
                <w:rFonts w:ascii="Cambria Math" w:hAnsi="Cambria Math"/>
                <w:bCs/>
                <w:i/>
                <w:color w:val="000000"/>
                <w:szCs w:val="24"/>
              </w:rPr>
            </m:ctrlPr>
          </m:sSubPr>
          <m:e>
            <m:r>
              <w:rPr>
                <w:rFonts w:ascii="Cambria Math" w:hAnsi="Cambria Math"/>
                <w:color w:val="000000"/>
                <w:szCs w:val="24"/>
              </w:rPr>
              <m:t>y</m:t>
            </m:r>
          </m:e>
          <m:sub>
            <m:r>
              <w:rPr>
                <w:rFonts w:ascii="Cambria Math" w:hAnsi="Cambria Math"/>
                <w:color w:val="000000"/>
                <w:szCs w:val="24"/>
              </w:rPr>
              <m:t>q,t,t-1</m:t>
            </m:r>
          </m:sub>
        </m:sSub>
        <m:r>
          <w:rPr>
            <w:rFonts w:ascii="Cambria Math" w:hAnsi="Cambria Math"/>
            <w:color w:val="000000"/>
            <w:szCs w:val="24"/>
          </w:rPr>
          <m:t>=</m:t>
        </m:r>
        <m:sSub>
          <m:sSubPr>
            <m:ctrlPr>
              <w:rPr>
                <w:rFonts w:ascii="Cambria Math" w:hAnsi="Cambria Math"/>
                <w:bCs/>
                <w:i/>
                <w:color w:val="000000"/>
                <w:szCs w:val="24"/>
              </w:rPr>
            </m:ctrlPr>
          </m:sSubPr>
          <m:e>
            <m:r>
              <w:rPr>
                <w:rFonts w:ascii="Cambria Math" w:hAnsi="Cambria Math"/>
                <w:color w:val="000000"/>
                <w:szCs w:val="24"/>
              </w:rPr>
              <m:t>y</m:t>
            </m:r>
          </m:e>
          <m:sub>
            <m:r>
              <w:rPr>
                <w:rFonts w:ascii="Cambria Math" w:hAnsi="Cambria Math"/>
                <w:color w:val="000000"/>
                <w:szCs w:val="24"/>
              </w:rPr>
              <m:t>q,t</m:t>
            </m:r>
          </m:sub>
        </m:sSub>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rPr>
              <m:t>y</m:t>
            </m:r>
          </m:e>
          <m:sub>
            <m:r>
              <w:rPr>
                <w:rFonts w:ascii="Cambria Math" w:hAnsi="Cambria Math"/>
                <w:color w:val="000000"/>
                <w:szCs w:val="24"/>
              </w:rPr>
              <m:t>qt-1</m:t>
            </m:r>
          </m:sub>
        </m:sSub>
        <m:r>
          <w:rPr>
            <w:rFonts w:ascii="Cambria Math" w:hAnsi="Cambria Math"/>
            <w:color w:val="000000"/>
            <w:szCs w:val="24"/>
          </w:rPr>
          <m:t>=Constant+</m:t>
        </m:r>
        <m:sSubSup>
          <m:sSubSupPr>
            <m:ctrlPr>
              <w:rPr>
                <w:rFonts w:ascii="Cambria Math" w:hAnsi="Cambria Math"/>
                <w:i/>
                <w:color w:val="000000"/>
                <w:szCs w:val="24"/>
              </w:rPr>
            </m:ctrlPr>
          </m:sSubSupPr>
          <m:e>
            <m:r>
              <w:rPr>
                <w:rFonts w:ascii="Cambria Math" w:hAnsi="Cambria Math"/>
                <w:color w:val="000000"/>
                <w:szCs w:val="24"/>
              </w:rPr>
              <m:t>β</m:t>
            </m:r>
          </m:e>
          <m:sub>
            <m:r>
              <w:rPr>
                <w:rFonts w:ascii="Cambria Math" w:hAnsi="Cambria Math"/>
                <w:color w:val="000000"/>
                <w:szCs w:val="24"/>
              </w:rPr>
              <m:t>GDP</m:t>
            </m:r>
          </m:sub>
          <m:sup/>
        </m:sSubSup>
        <m:r>
          <w:rPr>
            <w:rFonts w:ascii="Cambria Math" w:hAnsi="Cambria Math"/>
            <w:color w:val="000000"/>
            <w:szCs w:val="24"/>
          </w:rPr>
          <m:t>*</m:t>
        </m:r>
        <m:sSub>
          <m:sSubPr>
            <m:ctrlPr>
              <w:rPr>
                <w:rFonts w:ascii="Cambria Math" w:hAnsi="Cambria Math"/>
                <w:bCs/>
                <w:i/>
                <w:color w:val="000000"/>
                <w:szCs w:val="24"/>
              </w:rPr>
            </m:ctrlPr>
          </m:sSubPr>
          <m:e>
            <m:r>
              <w:rPr>
                <w:rFonts w:ascii="Cambria Math" w:hAnsi="Cambria Math"/>
                <w:color w:val="000000"/>
                <w:szCs w:val="24"/>
              </w:rPr>
              <m:t>GDP</m:t>
            </m:r>
          </m:e>
          <m:sub>
            <m:r>
              <w:rPr>
                <w:rFonts w:ascii="Cambria Math" w:hAnsi="Cambria Math"/>
                <w:color w:val="000000"/>
                <w:szCs w:val="24"/>
              </w:rPr>
              <m:t>t,t-1</m:t>
            </m:r>
          </m:sub>
        </m:sSub>
        <m:r>
          <w:rPr>
            <w:rFonts w:ascii="Cambria Math" w:hAnsi="Cambria Math"/>
            <w:color w:val="000000"/>
            <w:szCs w:val="24"/>
          </w:rPr>
          <m:t>+</m:t>
        </m:r>
        <m:sSubSup>
          <m:sSubSupPr>
            <m:ctrlPr>
              <w:rPr>
                <w:rFonts w:ascii="Cambria Math" w:hAnsi="Cambria Math"/>
                <w:i/>
                <w:color w:val="000000"/>
                <w:szCs w:val="24"/>
              </w:rPr>
            </m:ctrlPr>
          </m:sSubSupPr>
          <m:e>
            <m:r>
              <w:rPr>
                <w:rFonts w:ascii="Cambria Math" w:hAnsi="Cambria Math"/>
                <w:color w:val="000000"/>
                <w:szCs w:val="24"/>
              </w:rPr>
              <m:t>β</m:t>
            </m:r>
          </m:e>
          <m:sub>
            <m:r>
              <w:rPr>
                <w:rFonts w:ascii="Cambria Math" w:hAnsi="Cambria Math"/>
                <w:color w:val="000000"/>
                <w:szCs w:val="24"/>
              </w:rPr>
              <m:t>RPS</m:t>
            </m:r>
          </m:sub>
          <m:sup/>
        </m:sSubSup>
        <m:sSub>
          <m:sSubPr>
            <m:ctrlPr>
              <w:rPr>
                <w:rFonts w:ascii="Cambria Math" w:hAnsi="Cambria Math"/>
                <w:i/>
                <w:color w:val="000000"/>
                <w:szCs w:val="24"/>
              </w:rPr>
            </m:ctrlPr>
          </m:sSubPr>
          <m:e>
            <m:r>
              <w:rPr>
                <w:rFonts w:ascii="Cambria Math" w:hAnsi="Cambria Math"/>
                <w:color w:val="000000"/>
                <w:szCs w:val="24"/>
              </w:rPr>
              <m:t>*RPS</m:t>
            </m:r>
          </m:e>
          <m:sub>
            <m:r>
              <w:rPr>
                <w:rFonts w:ascii="Cambria Math" w:hAnsi="Cambria Math"/>
                <w:color w:val="000000"/>
                <w:szCs w:val="24"/>
              </w:rPr>
              <m:t>t</m:t>
            </m:r>
          </m:sub>
        </m:sSub>
      </m:oMath>
      <w:r w:rsidR="00480718">
        <w:rPr>
          <w:color w:val="000000"/>
          <w:szCs w:val="24"/>
        </w:rPr>
        <w:t xml:space="preserve">  </w:t>
      </w:r>
      <w:r w:rsidR="00480718" w:rsidRPr="00EB589A">
        <w:rPr>
          <w:color w:val="000000"/>
          <w:szCs w:val="24"/>
        </w:rPr>
        <w:t xml:space="preserve"> </w:t>
      </w:r>
    </w:p>
    <w:p w14:paraId="31560C51" w14:textId="77777777" w:rsidR="00480718" w:rsidRPr="00EB589A" w:rsidRDefault="00480718" w:rsidP="00106359">
      <w:pPr>
        <w:tabs>
          <w:tab w:val="right" w:pos="9360"/>
        </w:tabs>
        <w:ind w:firstLine="720"/>
        <w:jc w:val="both"/>
        <w:rPr>
          <w:color w:val="000000"/>
          <w:szCs w:val="24"/>
        </w:rPr>
      </w:pPr>
      <m:oMath>
        <m:r>
          <w:rPr>
            <w:rFonts w:ascii="Cambria Math" w:hAnsi="Cambria Math"/>
            <w:color w:val="000000"/>
            <w:szCs w:val="24"/>
          </w:rPr>
          <m:t xml:space="preserve">                                  +</m:t>
        </m:r>
        <m:sSubSup>
          <m:sSubSupPr>
            <m:ctrlPr>
              <w:rPr>
                <w:rFonts w:ascii="Cambria Math" w:hAnsi="Cambria Math"/>
                <w:i/>
                <w:color w:val="000000"/>
                <w:szCs w:val="24"/>
              </w:rPr>
            </m:ctrlPr>
          </m:sSubSupPr>
          <m:e>
            <m:r>
              <w:rPr>
                <w:rFonts w:ascii="Cambria Math" w:hAnsi="Cambria Math"/>
                <w:color w:val="000000"/>
                <w:szCs w:val="24"/>
              </w:rPr>
              <m:t>β</m:t>
            </m:r>
          </m:e>
          <m:sub>
            <m:r>
              <w:rPr>
                <w:rFonts w:ascii="Cambria Math" w:hAnsi="Cambria Math"/>
                <w:color w:val="000000"/>
                <w:szCs w:val="24"/>
              </w:rPr>
              <m:t>DLines</m:t>
            </m:r>
          </m:sub>
          <m:sup/>
        </m:sSubSup>
        <m:r>
          <w:rPr>
            <w:rFonts w:ascii="Cambria Math" w:hAnsi="Cambria Math"/>
            <w:color w:val="000000"/>
            <w:szCs w:val="24"/>
          </w:rPr>
          <m:t>*</m:t>
        </m:r>
        <m:d>
          <m:dPr>
            <m:ctrlPr>
              <w:rPr>
                <w:rFonts w:ascii="Cambria Math" w:hAnsi="Cambria Math"/>
                <w:i/>
                <w:color w:val="000000"/>
                <w:szCs w:val="24"/>
              </w:rPr>
            </m:ctrlPr>
          </m:dPr>
          <m:e>
            <m:sSub>
              <m:sSubPr>
                <m:ctrlPr>
                  <w:rPr>
                    <w:rFonts w:ascii="Cambria Math" w:hAnsi="Cambria Math"/>
                    <w:bCs/>
                    <w:i/>
                    <w:color w:val="000000"/>
                    <w:szCs w:val="24"/>
                  </w:rPr>
                </m:ctrlPr>
              </m:sSubPr>
              <m:e>
                <m:r>
                  <w:rPr>
                    <w:rFonts w:ascii="Cambria Math" w:hAnsi="Cambria Math"/>
                    <w:color w:val="000000"/>
                    <w:szCs w:val="24"/>
                  </w:rPr>
                  <m:t>DLines</m:t>
                </m:r>
              </m:e>
              <m:sub>
                <m:r>
                  <w:rPr>
                    <w:rFonts w:ascii="Cambria Math" w:hAnsi="Cambria Math"/>
                    <w:color w:val="000000"/>
                    <w:szCs w:val="24"/>
                  </w:rPr>
                  <m:t>q,t</m:t>
                </m:r>
              </m:sub>
            </m:sSub>
            <m:r>
              <w:rPr>
                <w:rFonts w:ascii="Cambria Math" w:hAnsi="Cambria Math"/>
                <w:color w:val="000000"/>
                <w:szCs w:val="24"/>
              </w:rPr>
              <m:t>-</m:t>
            </m:r>
            <m:sSub>
              <m:sSubPr>
                <m:ctrlPr>
                  <w:rPr>
                    <w:rFonts w:ascii="Cambria Math" w:hAnsi="Cambria Math"/>
                    <w:bCs/>
                    <w:i/>
                    <w:color w:val="000000"/>
                    <w:szCs w:val="24"/>
                  </w:rPr>
                </m:ctrlPr>
              </m:sSubPr>
              <m:e>
                <m:r>
                  <w:rPr>
                    <w:rFonts w:ascii="Cambria Math" w:hAnsi="Cambria Math"/>
                    <w:color w:val="000000"/>
                    <w:szCs w:val="24"/>
                  </w:rPr>
                  <m:t>DLines</m:t>
                </m:r>
              </m:e>
              <m:sub>
                <m:r>
                  <w:rPr>
                    <w:rFonts w:ascii="Cambria Math" w:hAnsi="Cambria Math"/>
                    <w:color w:val="000000"/>
                    <w:szCs w:val="24"/>
                  </w:rPr>
                  <m:t>q,t-1</m:t>
                </m:r>
              </m:sub>
            </m:sSub>
          </m:e>
        </m:d>
        <m:r>
          <w:rPr>
            <w:rFonts w:ascii="Cambria Math" w:hAnsi="Cambria Math"/>
            <w:color w:val="000000"/>
            <w:szCs w:val="24"/>
          </w:rPr>
          <m:t>+</m:t>
        </m:r>
        <m:nary>
          <m:naryPr>
            <m:chr m:val="∑"/>
            <m:limLoc m:val="undOvr"/>
            <m:ctrlPr>
              <w:rPr>
                <w:rFonts w:ascii="Cambria Math" w:hAnsi="Cambria Math"/>
                <w:i/>
                <w:color w:val="000000"/>
                <w:szCs w:val="24"/>
              </w:rPr>
            </m:ctrlPr>
          </m:naryPr>
          <m:sub>
            <m:r>
              <w:rPr>
                <w:rFonts w:ascii="Cambria Math" w:hAnsi="Cambria Math"/>
                <w:color w:val="000000"/>
                <w:szCs w:val="24"/>
              </w:rPr>
              <m:t>i=1</m:t>
            </m:r>
          </m:sub>
          <m:sup>
            <m:r>
              <w:rPr>
                <w:rFonts w:ascii="Cambria Math" w:hAnsi="Cambria Math"/>
                <w:color w:val="000000"/>
                <w:szCs w:val="24"/>
              </w:rPr>
              <m:t>4</m:t>
            </m:r>
          </m:sup>
          <m:e>
            <m:sSubSup>
              <m:sSubSupPr>
                <m:ctrlPr>
                  <w:rPr>
                    <w:rFonts w:ascii="Cambria Math" w:hAnsi="Cambria Math"/>
                    <w:i/>
                    <w:color w:val="000000"/>
                    <w:szCs w:val="24"/>
                  </w:rPr>
                </m:ctrlPr>
              </m:sSubSupPr>
              <m:e>
                <m:r>
                  <w:rPr>
                    <w:rFonts w:ascii="Cambria Math" w:hAnsi="Cambria Math"/>
                    <w:color w:val="000000"/>
                    <w:szCs w:val="24"/>
                  </w:rPr>
                  <m:t>β</m:t>
                </m:r>
              </m:e>
              <m:sub>
                <m:r>
                  <w:rPr>
                    <w:rFonts w:ascii="Cambria Math" w:hAnsi="Cambria Math"/>
                    <w:color w:val="000000"/>
                    <w:szCs w:val="24"/>
                  </w:rPr>
                  <m:t>Zcat</m:t>
                </m:r>
              </m:sub>
              <m:sup>
                <m:r>
                  <w:rPr>
                    <w:rFonts w:ascii="Cambria Math" w:hAnsi="Cambria Math"/>
                    <w:color w:val="000000"/>
                    <w:szCs w:val="24"/>
                  </w:rPr>
                  <m:t>i</m:t>
                </m:r>
              </m:sup>
            </m:sSubSup>
            <m:r>
              <w:rPr>
                <w:rFonts w:ascii="Cambria Math" w:hAnsi="Cambria Math"/>
                <w:color w:val="000000"/>
                <w:szCs w:val="24"/>
              </w:rPr>
              <m:t>*</m:t>
            </m:r>
            <m:sSubSup>
              <m:sSubSupPr>
                <m:ctrlPr>
                  <w:rPr>
                    <w:rFonts w:ascii="Cambria Math" w:hAnsi="Cambria Math"/>
                    <w:i/>
                    <w:color w:val="000000"/>
                    <w:szCs w:val="24"/>
                  </w:rPr>
                </m:ctrlPr>
              </m:sSubSupPr>
              <m:e>
                <m:r>
                  <w:rPr>
                    <w:rFonts w:ascii="Cambria Math" w:hAnsi="Cambria Math"/>
                    <w:color w:val="000000"/>
                    <w:szCs w:val="24"/>
                  </w:rPr>
                  <m:t>Zcat</m:t>
                </m:r>
              </m:e>
              <m:sub>
                <m:r>
                  <w:rPr>
                    <w:rFonts w:ascii="Cambria Math" w:hAnsi="Cambria Math"/>
                    <w:color w:val="000000"/>
                    <w:szCs w:val="24"/>
                  </w:rPr>
                  <m:t>q</m:t>
                </m:r>
              </m:sub>
              <m:sup>
                <m:r>
                  <w:rPr>
                    <w:rFonts w:ascii="Cambria Math" w:hAnsi="Cambria Math"/>
                    <w:color w:val="000000"/>
                    <w:szCs w:val="24"/>
                  </w:rPr>
                  <m:t>i</m:t>
                </m:r>
              </m:sup>
            </m:sSubSup>
          </m:e>
        </m:nary>
      </m:oMath>
      <w:r>
        <w:rPr>
          <w:color w:val="000000"/>
          <w:szCs w:val="24"/>
        </w:rPr>
        <w:t xml:space="preserve">   </w:t>
      </w:r>
      <w:r w:rsidRPr="00EB589A">
        <w:rPr>
          <w:color w:val="000000"/>
          <w:szCs w:val="24"/>
        </w:rPr>
        <w:t xml:space="preserve"> </w:t>
      </w:r>
      <w:r w:rsidR="00106359">
        <w:rPr>
          <w:color w:val="000000"/>
          <w:szCs w:val="24"/>
        </w:rPr>
        <w:tab/>
      </w:r>
      <w:r w:rsidRPr="00EB589A">
        <w:rPr>
          <w:color w:val="000000"/>
          <w:szCs w:val="24"/>
        </w:rPr>
        <w:t>(</w:t>
      </w:r>
      <w:r>
        <w:rPr>
          <w:color w:val="000000"/>
          <w:szCs w:val="24"/>
        </w:rPr>
        <w:t>2</w:t>
      </w:r>
      <w:r w:rsidRPr="00EB589A">
        <w:rPr>
          <w:color w:val="000000"/>
          <w:szCs w:val="24"/>
        </w:rPr>
        <w:t>)</w:t>
      </w:r>
    </w:p>
    <w:p w14:paraId="4D235ECF" w14:textId="77777777" w:rsidR="00480718" w:rsidRPr="00EB589A" w:rsidRDefault="00480718" w:rsidP="0067454F">
      <w:pPr>
        <w:ind w:firstLine="720"/>
        <w:jc w:val="both"/>
        <w:rPr>
          <w:color w:val="000000"/>
          <w:szCs w:val="24"/>
        </w:rPr>
      </w:pPr>
      <m:oMath>
        <m:r>
          <w:rPr>
            <w:rFonts w:ascii="Cambria Math" w:hAnsi="Cambria Math"/>
            <w:color w:val="000000"/>
            <w:szCs w:val="24"/>
          </w:rPr>
          <m:t xml:space="preserve">                                  +</m:t>
        </m:r>
        <m:sSub>
          <m:sSubPr>
            <m:ctrlPr>
              <w:rPr>
                <w:rFonts w:ascii="Cambria Math" w:hAnsi="Cambria Math"/>
                <w:i/>
                <w:color w:val="000000"/>
                <w:szCs w:val="24"/>
              </w:rPr>
            </m:ctrlPr>
          </m:sSubPr>
          <m:e>
            <m:r>
              <w:rPr>
                <w:rFonts w:ascii="Cambria Math" w:hAnsi="Cambria Math"/>
                <w:color w:val="000000"/>
                <w:szCs w:val="24"/>
              </w:rPr>
              <m:t>β</m:t>
            </m:r>
          </m:e>
          <m:sub>
            <m:r>
              <w:rPr>
                <w:rFonts w:ascii="Cambria Math" w:hAnsi="Cambria Math"/>
                <w:color w:val="000000"/>
                <w:szCs w:val="24"/>
              </w:rPr>
              <m:t>w</m:t>
            </m:r>
          </m:sub>
        </m:sSub>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rPr>
              <m:t>w</m:t>
            </m:r>
          </m:e>
          <m:sub>
            <m:r>
              <w:rPr>
                <w:rFonts w:ascii="Cambria Math" w:hAnsi="Cambria Math"/>
                <w:color w:val="000000"/>
                <w:szCs w:val="24"/>
              </w:rPr>
              <m:t>q,t-1,t-2</m:t>
            </m:r>
          </m:sub>
        </m:sSub>
        <m:r>
          <w:rPr>
            <w:rFonts w:ascii="Cambria Math" w:hAnsi="Cambria Math"/>
            <w:color w:val="000000"/>
            <w:szCs w:val="24"/>
          </w:rPr>
          <m:t>+</m:t>
        </m:r>
        <m:nary>
          <m:naryPr>
            <m:chr m:val="∑"/>
            <m:limLoc m:val="undOvr"/>
            <m:ctrlPr>
              <w:rPr>
                <w:rFonts w:ascii="Cambria Math" w:hAnsi="Cambria Math"/>
                <w:i/>
                <w:color w:val="000000"/>
                <w:szCs w:val="24"/>
              </w:rPr>
            </m:ctrlPr>
          </m:naryPr>
          <m:sub>
            <m:r>
              <w:rPr>
                <w:rFonts w:ascii="Cambria Math" w:hAnsi="Cambria Math"/>
                <w:color w:val="000000"/>
                <w:szCs w:val="24"/>
              </w:rPr>
              <m:t>i=1</m:t>
            </m:r>
          </m:sub>
          <m:sup>
            <m:r>
              <w:rPr>
                <w:rFonts w:ascii="Cambria Math" w:hAnsi="Cambria Math"/>
                <w:color w:val="000000"/>
                <w:szCs w:val="24"/>
              </w:rPr>
              <m:t>4</m:t>
            </m:r>
          </m:sup>
          <m:e>
            <m:sSubSup>
              <m:sSubSupPr>
                <m:ctrlPr>
                  <w:rPr>
                    <w:rFonts w:ascii="Cambria Math" w:hAnsi="Cambria Math"/>
                    <w:i/>
                    <w:color w:val="000000"/>
                    <w:szCs w:val="24"/>
                  </w:rPr>
                </m:ctrlPr>
              </m:sSubSupPr>
              <m:e>
                <m:r>
                  <w:rPr>
                    <w:rFonts w:ascii="Cambria Math" w:hAnsi="Cambria Math"/>
                    <w:color w:val="000000"/>
                    <w:szCs w:val="24"/>
                  </w:rPr>
                  <m:t>β</m:t>
                </m:r>
              </m:e>
              <m:sub>
                <m:r>
                  <w:rPr>
                    <w:rFonts w:ascii="Cambria Math" w:hAnsi="Cambria Math"/>
                    <w:color w:val="000000"/>
                    <w:szCs w:val="24"/>
                  </w:rPr>
                  <m:t>w</m:t>
                </m:r>
              </m:sub>
              <m:sup>
                <m:r>
                  <w:rPr>
                    <w:rFonts w:ascii="Cambria Math" w:hAnsi="Cambria Math"/>
                    <w:color w:val="000000"/>
                    <w:szCs w:val="24"/>
                  </w:rPr>
                  <m:t>i</m:t>
                </m:r>
              </m:sup>
            </m:sSubSup>
            <m:sSubSup>
              <m:sSubSupPr>
                <m:ctrlPr>
                  <w:rPr>
                    <w:rFonts w:ascii="Cambria Math" w:hAnsi="Cambria Math"/>
                    <w:i/>
                    <w:color w:val="000000"/>
                    <w:szCs w:val="24"/>
                  </w:rPr>
                </m:ctrlPr>
              </m:sSubSupPr>
              <m:e>
                <m:r>
                  <w:rPr>
                    <w:rFonts w:ascii="Cambria Math" w:hAnsi="Cambria Math"/>
                    <w:color w:val="000000"/>
                    <w:szCs w:val="24"/>
                  </w:rPr>
                  <m:t>*Zcat</m:t>
                </m:r>
              </m:e>
              <m:sub>
                <m:r>
                  <w:rPr>
                    <w:rFonts w:ascii="Cambria Math" w:hAnsi="Cambria Math"/>
                    <w:color w:val="000000"/>
                    <w:szCs w:val="24"/>
                  </w:rPr>
                  <m:t>q</m:t>
                </m:r>
              </m:sub>
              <m:sup>
                <m:r>
                  <w:rPr>
                    <w:rFonts w:ascii="Cambria Math" w:hAnsi="Cambria Math"/>
                    <w:color w:val="000000"/>
                    <w:szCs w:val="24"/>
                  </w:rPr>
                  <m:t>i</m:t>
                </m:r>
              </m:sup>
            </m:sSubSup>
          </m:e>
        </m:nary>
        <m:r>
          <w:rPr>
            <w:rFonts w:ascii="Cambria Math" w:hAnsi="Cambria Math"/>
            <w:color w:val="000000"/>
            <w:szCs w:val="24"/>
          </w:rPr>
          <m:t>*</m:t>
        </m:r>
        <m:sSub>
          <m:sSubPr>
            <m:ctrlPr>
              <w:rPr>
                <w:rFonts w:ascii="Cambria Math" w:hAnsi="Cambria Math"/>
                <w:i/>
                <w:color w:val="000000"/>
                <w:szCs w:val="24"/>
              </w:rPr>
            </m:ctrlPr>
          </m:sSubPr>
          <m:e>
            <m:r>
              <w:rPr>
                <w:rFonts w:ascii="Cambria Math" w:hAnsi="Cambria Math"/>
                <w:color w:val="000000"/>
                <w:szCs w:val="24"/>
              </w:rPr>
              <m:t>w</m:t>
            </m:r>
          </m:e>
          <m:sub>
            <m:r>
              <w:rPr>
                <w:rFonts w:ascii="Cambria Math" w:hAnsi="Cambria Math"/>
                <w:color w:val="000000"/>
                <w:szCs w:val="24"/>
              </w:rPr>
              <m:t>q,t-1,t-2</m:t>
            </m:r>
          </m:sub>
        </m:sSub>
      </m:oMath>
      <w:r>
        <w:rPr>
          <w:color w:val="000000"/>
          <w:szCs w:val="24"/>
        </w:rPr>
        <w:t xml:space="preserve">    </w:t>
      </w:r>
      <w:r w:rsidRPr="00EB589A">
        <w:rPr>
          <w:color w:val="000000"/>
          <w:szCs w:val="24"/>
        </w:rPr>
        <w:t xml:space="preserve"> </w:t>
      </w:r>
    </w:p>
    <w:p w14:paraId="60F90DCE" w14:textId="77777777" w:rsidR="00480718" w:rsidRDefault="00480718" w:rsidP="0067454F">
      <w:pPr>
        <w:jc w:val="both"/>
        <w:rPr>
          <w:bCs/>
          <w:color w:val="000000"/>
          <w:sz w:val="20"/>
        </w:rPr>
      </w:pPr>
    </w:p>
    <w:p w14:paraId="4D93732C" w14:textId="77777777" w:rsidR="00EB589A" w:rsidRPr="00EB589A" w:rsidRDefault="00EB589A" w:rsidP="0067454F">
      <w:pPr>
        <w:jc w:val="both"/>
        <w:rPr>
          <w:bCs/>
          <w:color w:val="000000"/>
          <w:szCs w:val="24"/>
        </w:rPr>
      </w:pPr>
      <w:r w:rsidRPr="00EB589A">
        <w:rPr>
          <w:bCs/>
          <w:color w:val="000000"/>
          <w:szCs w:val="24"/>
        </w:rPr>
        <w:t xml:space="preserve">where </w:t>
      </w:r>
      <w:r w:rsidRPr="00EB589A">
        <w:rPr>
          <w:bCs/>
          <w:i/>
          <w:color w:val="000000"/>
          <w:szCs w:val="24"/>
        </w:rPr>
        <w:t>GDP</w:t>
      </w:r>
      <w:r w:rsidRPr="00EB589A">
        <w:rPr>
          <w:bCs/>
          <w:i/>
          <w:color w:val="000000"/>
          <w:szCs w:val="24"/>
          <w:vertAlign w:val="subscript"/>
        </w:rPr>
        <w:t>t</w:t>
      </w:r>
      <w:r w:rsidRPr="00C6569B">
        <w:rPr>
          <w:bCs/>
          <w:color w:val="000000"/>
          <w:szCs w:val="24"/>
          <w:vertAlign w:val="subscript"/>
        </w:rPr>
        <w:t>,</w:t>
      </w:r>
      <w:r w:rsidRPr="00EB589A">
        <w:rPr>
          <w:bCs/>
          <w:i/>
          <w:color w:val="000000"/>
          <w:szCs w:val="24"/>
          <w:vertAlign w:val="subscript"/>
        </w:rPr>
        <w:t>t</w:t>
      </w:r>
      <w:r w:rsidRPr="00C6569B">
        <w:rPr>
          <w:bCs/>
          <w:color w:val="000000"/>
          <w:szCs w:val="24"/>
          <w:vertAlign w:val="subscript"/>
        </w:rPr>
        <w:t>-1</w:t>
      </w:r>
      <w:r w:rsidRPr="00EB589A">
        <w:rPr>
          <w:bCs/>
          <w:color w:val="000000"/>
          <w:szCs w:val="24"/>
        </w:rPr>
        <w:t xml:space="preserve"> is the percentage of change of the U.S. </w:t>
      </w:r>
      <w:r w:rsidR="00086F61">
        <w:rPr>
          <w:bCs/>
          <w:color w:val="000000"/>
          <w:szCs w:val="24"/>
        </w:rPr>
        <w:t>g</w:t>
      </w:r>
      <w:r w:rsidR="00086F61" w:rsidRPr="00086F61">
        <w:rPr>
          <w:bCs/>
          <w:color w:val="000000"/>
          <w:szCs w:val="24"/>
        </w:rPr>
        <w:t>ross domestic product (GDP)</w:t>
      </w:r>
      <w:r w:rsidRPr="00EB589A">
        <w:rPr>
          <w:bCs/>
          <w:color w:val="000000"/>
          <w:szCs w:val="24"/>
        </w:rPr>
        <w:t xml:space="preserve"> from year </w:t>
      </w:r>
      <w:r w:rsidRPr="00EB589A">
        <w:rPr>
          <w:bCs/>
          <w:i/>
          <w:color w:val="000000"/>
          <w:szCs w:val="24"/>
        </w:rPr>
        <w:t xml:space="preserve">t-1 </w:t>
      </w:r>
      <w:r w:rsidRPr="00EB589A">
        <w:rPr>
          <w:bCs/>
          <w:color w:val="000000"/>
          <w:szCs w:val="24"/>
        </w:rPr>
        <w:t xml:space="preserve">to year </w:t>
      </w:r>
      <w:r w:rsidRPr="00EB589A">
        <w:rPr>
          <w:bCs/>
          <w:i/>
          <w:color w:val="000000"/>
          <w:szCs w:val="24"/>
        </w:rPr>
        <w:t>t</w:t>
      </w:r>
      <w:r w:rsidR="00480718">
        <w:rPr>
          <w:bCs/>
          <w:color w:val="000000"/>
          <w:szCs w:val="24"/>
        </w:rPr>
        <w:t xml:space="preserve">; </w:t>
      </w:r>
      <w:proofErr w:type="spellStart"/>
      <w:r w:rsidR="00480718" w:rsidRPr="00EB589A">
        <w:rPr>
          <w:bCs/>
          <w:i/>
          <w:color w:val="000000"/>
          <w:szCs w:val="24"/>
        </w:rPr>
        <w:t>RPS</w:t>
      </w:r>
      <w:r w:rsidR="00480718" w:rsidRPr="00EB589A">
        <w:rPr>
          <w:bCs/>
          <w:i/>
          <w:color w:val="000000"/>
          <w:szCs w:val="24"/>
          <w:vertAlign w:val="subscript"/>
        </w:rPr>
        <w:t>t</w:t>
      </w:r>
      <w:proofErr w:type="spellEnd"/>
      <w:r w:rsidR="00480718" w:rsidRPr="00EB589A">
        <w:rPr>
          <w:bCs/>
          <w:color w:val="000000"/>
          <w:szCs w:val="24"/>
        </w:rPr>
        <w:t xml:space="preserve"> is a dummy variable that takes the value of 1 if year </w:t>
      </w:r>
      <w:r w:rsidR="00480718" w:rsidRPr="00EB589A">
        <w:rPr>
          <w:bCs/>
          <w:i/>
          <w:color w:val="000000"/>
          <w:szCs w:val="24"/>
        </w:rPr>
        <w:t>t</w:t>
      </w:r>
      <w:r w:rsidR="00480718" w:rsidRPr="00EB589A">
        <w:rPr>
          <w:bCs/>
          <w:color w:val="000000"/>
          <w:szCs w:val="24"/>
        </w:rPr>
        <w:t xml:space="preserve"> is 2005 or late</w:t>
      </w:r>
      <w:r w:rsidR="00480718">
        <w:rPr>
          <w:bCs/>
          <w:color w:val="000000"/>
          <w:szCs w:val="24"/>
        </w:rPr>
        <w:t xml:space="preserve">r, and the value of 0 otherwise; </w:t>
      </w:r>
      <w:proofErr w:type="spellStart"/>
      <w:r w:rsidRPr="00EB589A">
        <w:rPr>
          <w:bCs/>
          <w:i/>
          <w:color w:val="000000"/>
          <w:szCs w:val="24"/>
        </w:rPr>
        <w:t>DLines</w:t>
      </w:r>
      <w:r w:rsidRPr="00EB589A">
        <w:rPr>
          <w:bCs/>
          <w:i/>
          <w:color w:val="000000"/>
          <w:szCs w:val="24"/>
          <w:vertAlign w:val="subscript"/>
        </w:rPr>
        <w:t>q</w:t>
      </w:r>
      <w:r w:rsidRPr="00C6569B">
        <w:rPr>
          <w:bCs/>
          <w:color w:val="000000"/>
          <w:szCs w:val="24"/>
          <w:vertAlign w:val="subscript"/>
        </w:rPr>
        <w:t>,</w:t>
      </w:r>
      <w:r w:rsidRPr="00EB589A">
        <w:rPr>
          <w:bCs/>
          <w:i/>
          <w:color w:val="000000"/>
          <w:szCs w:val="24"/>
          <w:vertAlign w:val="subscript"/>
        </w:rPr>
        <w:t>t</w:t>
      </w:r>
      <w:proofErr w:type="spellEnd"/>
      <w:r w:rsidRPr="00EB589A">
        <w:rPr>
          <w:bCs/>
          <w:color w:val="000000"/>
          <w:szCs w:val="24"/>
        </w:rPr>
        <w:t xml:space="preserve"> is the distance (in miles) between the centroid of zone </w:t>
      </w:r>
      <w:r w:rsidRPr="00EB589A">
        <w:rPr>
          <w:bCs/>
          <w:i/>
          <w:color w:val="000000"/>
          <w:szCs w:val="24"/>
        </w:rPr>
        <w:t>q</w:t>
      </w:r>
      <w:r w:rsidRPr="00EB589A">
        <w:rPr>
          <w:bCs/>
          <w:color w:val="000000"/>
          <w:szCs w:val="24"/>
        </w:rPr>
        <w:t xml:space="preserve"> and the nearest primary electric transmission line existent in year </w:t>
      </w:r>
      <w:r w:rsidRPr="00EB589A">
        <w:rPr>
          <w:bCs/>
          <w:i/>
          <w:color w:val="000000"/>
          <w:szCs w:val="24"/>
        </w:rPr>
        <w:t>t</w:t>
      </w:r>
      <w:r w:rsidRPr="00EB589A">
        <w:rPr>
          <w:bCs/>
          <w:color w:val="000000"/>
          <w:szCs w:val="24"/>
        </w:rPr>
        <w:t xml:space="preserve">, </w:t>
      </w:r>
      <m:oMath>
        <m:sSubSup>
          <m:sSubSupPr>
            <m:ctrlPr>
              <w:rPr>
                <w:rFonts w:ascii="Cambria Math" w:hAnsi="Cambria Math"/>
                <w:bCs/>
                <w:i/>
                <w:color w:val="000000"/>
                <w:szCs w:val="24"/>
              </w:rPr>
            </m:ctrlPr>
          </m:sSubSupPr>
          <m:e>
            <m:r>
              <w:rPr>
                <w:rFonts w:ascii="Cambria Math" w:hAnsi="Cambria Math"/>
                <w:color w:val="000000"/>
                <w:szCs w:val="24"/>
              </w:rPr>
              <m:t>Zcat</m:t>
            </m:r>
          </m:e>
          <m:sub>
            <m:r>
              <w:rPr>
                <w:rFonts w:ascii="Cambria Math" w:hAnsi="Cambria Math"/>
                <w:color w:val="000000"/>
                <w:szCs w:val="24"/>
              </w:rPr>
              <m:t>q</m:t>
            </m:r>
          </m:sub>
          <m:sup>
            <m:r>
              <w:rPr>
                <w:rFonts w:ascii="Cambria Math" w:hAnsi="Cambria Math"/>
                <w:color w:val="000000"/>
                <w:szCs w:val="24"/>
              </w:rPr>
              <m:t>i</m:t>
            </m:r>
          </m:sup>
        </m:sSubSup>
      </m:oMath>
      <w:r w:rsidR="00125EAC" w:rsidRPr="00EB589A">
        <w:rPr>
          <w:bCs/>
          <w:color w:val="000000"/>
          <w:szCs w:val="24"/>
        </w:rPr>
        <w:t xml:space="preserve"> is a dummy variable that takes the value of 1 if zone </w:t>
      </w:r>
      <w:r w:rsidR="00125EAC" w:rsidRPr="00EB589A">
        <w:rPr>
          <w:bCs/>
          <w:i/>
          <w:color w:val="000000"/>
          <w:szCs w:val="24"/>
        </w:rPr>
        <w:t>q</w:t>
      </w:r>
      <w:r w:rsidR="00125EAC" w:rsidRPr="00EB589A">
        <w:rPr>
          <w:bCs/>
          <w:color w:val="000000"/>
          <w:szCs w:val="24"/>
        </w:rPr>
        <w:t xml:space="preserve"> belongs to category </w:t>
      </w:r>
      <w:r w:rsidR="00125EAC" w:rsidRPr="00EB589A">
        <w:rPr>
          <w:bCs/>
          <w:i/>
          <w:color w:val="000000"/>
          <w:szCs w:val="24"/>
        </w:rPr>
        <w:t>i</w:t>
      </w:r>
      <w:r w:rsidR="00125EAC" w:rsidRPr="00EB589A">
        <w:rPr>
          <w:bCs/>
          <w:color w:val="000000"/>
          <w:szCs w:val="24"/>
        </w:rPr>
        <w:t xml:space="preserve"> and the val</w:t>
      </w:r>
      <w:r w:rsidR="00125EAC">
        <w:rPr>
          <w:bCs/>
          <w:color w:val="000000"/>
          <w:szCs w:val="24"/>
        </w:rPr>
        <w:t xml:space="preserve">ue of 0 otherwise (category 5 corresponding to Central Texas is the </w:t>
      </w:r>
      <w:r w:rsidR="00125EAC" w:rsidRPr="00EB589A">
        <w:rPr>
          <w:bCs/>
          <w:color w:val="000000"/>
          <w:szCs w:val="24"/>
        </w:rPr>
        <w:t>base</w:t>
      </w:r>
      <w:r w:rsidR="00125EAC">
        <w:rPr>
          <w:bCs/>
          <w:color w:val="000000"/>
          <w:szCs w:val="24"/>
        </w:rPr>
        <w:t xml:space="preserve"> category in including the zone categories as dummy variables), and </w:t>
      </w:r>
      <m:oMath>
        <m:sSub>
          <m:sSubPr>
            <m:ctrlPr>
              <w:rPr>
                <w:rFonts w:ascii="Cambria Math" w:hAnsi="Cambria Math"/>
                <w:bCs/>
                <w:i/>
                <w:color w:val="000000"/>
                <w:szCs w:val="24"/>
              </w:rPr>
            </m:ctrlPr>
          </m:sSubPr>
          <m:e>
            <m:r>
              <w:rPr>
                <w:rFonts w:ascii="Cambria Math" w:hAnsi="Cambria Math"/>
                <w:color w:val="000000"/>
                <w:szCs w:val="24"/>
              </w:rPr>
              <m:t>w</m:t>
            </m:r>
          </m:e>
          <m:sub>
            <m:r>
              <w:rPr>
                <w:rFonts w:ascii="Cambria Math" w:hAnsi="Cambria Math"/>
                <w:color w:val="000000"/>
                <w:szCs w:val="24"/>
              </w:rPr>
              <m:t>q,t-1,t-2</m:t>
            </m:r>
          </m:sub>
        </m:sSub>
        <m:r>
          <w:rPr>
            <w:rFonts w:ascii="Cambria Math" w:hAnsi="Cambria Math"/>
            <w:color w:val="000000"/>
            <w:szCs w:val="24"/>
          </w:rPr>
          <m:t>=</m:t>
        </m:r>
        <m:sSub>
          <m:sSubPr>
            <m:ctrlPr>
              <w:rPr>
                <w:rFonts w:ascii="Cambria Math" w:hAnsi="Cambria Math"/>
                <w:bCs/>
                <w:i/>
                <w:color w:val="000000"/>
                <w:szCs w:val="24"/>
              </w:rPr>
            </m:ctrlPr>
          </m:sSubPr>
          <m:e>
            <m:r>
              <w:rPr>
                <w:rFonts w:ascii="Cambria Math" w:hAnsi="Cambria Math"/>
                <w:color w:val="000000"/>
                <w:szCs w:val="24"/>
              </w:rPr>
              <m:t>y</m:t>
            </m:r>
          </m:e>
          <m:sub>
            <m:r>
              <w:rPr>
                <w:rFonts w:ascii="Cambria Math" w:hAnsi="Cambria Math"/>
                <w:color w:val="000000"/>
                <w:szCs w:val="24"/>
              </w:rPr>
              <m:t>q,t,t-1</m:t>
            </m:r>
          </m:sub>
        </m:sSub>
        <m:r>
          <w:rPr>
            <w:rFonts w:ascii="Cambria Math" w:hAnsi="Cambria Math"/>
            <w:color w:val="000000"/>
            <w:szCs w:val="24"/>
          </w:rPr>
          <m:t>-</m:t>
        </m:r>
        <m:sSub>
          <m:sSubPr>
            <m:ctrlPr>
              <w:rPr>
                <w:rFonts w:ascii="Cambria Math" w:hAnsi="Cambria Math"/>
                <w:bCs/>
                <w:i/>
                <w:color w:val="000000"/>
                <w:szCs w:val="24"/>
              </w:rPr>
            </m:ctrlPr>
          </m:sSubPr>
          <m:e>
            <m:r>
              <w:rPr>
                <w:rFonts w:ascii="Cambria Math" w:hAnsi="Cambria Math"/>
                <w:color w:val="000000"/>
                <w:szCs w:val="24"/>
              </w:rPr>
              <m:t>y</m:t>
            </m:r>
          </m:e>
          <m:sub>
            <m:r>
              <w:rPr>
                <w:rFonts w:ascii="Cambria Math" w:hAnsi="Cambria Math"/>
                <w:color w:val="000000"/>
                <w:szCs w:val="24"/>
              </w:rPr>
              <m:t>q,t-1,t-2</m:t>
            </m:r>
          </m:sub>
        </m:sSub>
      </m:oMath>
      <w:r w:rsidR="00125EAC">
        <w:rPr>
          <w:bCs/>
          <w:color w:val="000000"/>
          <w:szCs w:val="24"/>
        </w:rPr>
        <w:t xml:space="preserve">. This last variable, and its interactions with the zone category dummy variables, are added </w:t>
      </w:r>
      <w:r w:rsidR="00125EAC" w:rsidRPr="00EB589A">
        <w:rPr>
          <w:bCs/>
          <w:color w:val="000000"/>
          <w:szCs w:val="24"/>
        </w:rPr>
        <w:t>to</w:t>
      </w:r>
      <w:r w:rsidR="00125EAC">
        <w:rPr>
          <w:bCs/>
          <w:color w:val="000000"/>
          <w:szCs w:val="24"/>
        </w:rPr>
        <w:t xml:space="preserve"> better</w:t>
      </w:r>
      <w:r w:rsidR="00125EAC" w:rsidRPr="00EB589A">
        <w:rPr>
          <w:bCs/>
          <w:color w:val="000000"/>
          <w:szCs w:val="24"/>
        </w:rPr>
        <w:t xml:space="preserve"> capture the time trend of our dependent variable</w:t>
      </w:r>
      <w:r w:rsidR="00125EAC">
        <w:rPr>
          <w:bCs/>
          <w:color w:val="000000"/>
          <w:szCs w:val="24"/>
        </w:rPr>
        <w:t xml:space="preserve"> specific to each zone category</w:t>
      </w:r>
      <w:r w:rsidR="00125EAC" w:rsidRPr="00EB589A">
        <w:rPr>
          <w:bCs/>
          <w:color w:val="000000"/>
          <w:szCs w:val="24"/>
        </w:rPr>
        <w:t xml:space="preserve">. </w:t>
      </w:r>
    </w:p>
    <w:p w14:paraId="2CB648EF" w14:textId="1857B51F" w:rsidR="00EB589A" w:rsidRPr="00EB589A" w:rsidRDefault="00EB589A" w:rsidP="002C72A5">
      <w:pPr>
        <w:ind w:firstLine="720"/>
        <w:jc w:val="both"/>
        <w:rPr>
          <w:bCs/>
          <w:color w:val="000000"/>
          <w:szCs w:val="24"/>
        </w:rPr>
      </w:pPr>
      <w:r w:rsidRPr="00EB589A">
        <w:rPr>
          <w:bCs/>
          <w:color w:val="000000"/>
          <w:szCs w:val="24"/>
        </w:rPr>
        <w:t xml:space="preserve">The results of the estimation of our final specification are presented in </w:t>
      </w:r>
      <w:r w:rsidR="008757E0" w:rsidRPr="00874B96">
        <w:rPr>
          <w:bCs/>
          <w:color w:val="000000"/>
          <w:szCs w:val="24"/>
        </w:rPr>
        <w:t>Table 1</w:t>
      </w:r>
      <w:r w:rsidRPr="00EB589A">
        <w:rPr>
          <w:bCs/>
          <w:color w:val="000000"/>
          <w:szCs w:val="24"/>
        </w:rPr>
        <w:t xml:space="preserve">. </w:t>
      </w:r>
      <w:r w:rsidR="005B0AD5">
        <w:rPr>
          <w:bCs/>
          <w:color w:val="000000"/>
          <w:szCs w:val="24"/>
        </w:rPr>
        <w:t xml:space="preserve">The number of observations in the estimation is 208,458, based on 15,811 zones and 18 years of data (note that, because of the time series differencing in Equation (2), the number of years reflected in the regression is two less than the 20 years between 1996 and 2015). </w:t>
      </w:r>
      <w:r w:rsidRPr="00EB589A">
        <w:rPr>
          <w:bCs/>
          <w:color w:val="000000"/>
          <w:szCs w:val="24"/>
        </w:rPr>
        <w:t>Our specification provides several insights. GDP is an indicator of the economic status of the country; high GDP is related to high consumption of services and goods, including energy. Thus, an increase in GDP has a positive impact on the wind power energy installed, as e</w:t>
      </w:r>
      <w:r w:rsidR="008A4246">
        <w:rPr>
          <w:bCs/>
          <w:color w:val="000000"/>
          <w:szCs w:val="24"/>
        </w:rPr>
        <w:t xml:space="preserve">xpected (see </w:t>
      </w:r>
      <w:proofErr w:type="spellStart"/>
      <w:r w:rsidR="008A4246">
        <w:rPr>
          <w:bCs/>
          <w:color w:val="000000"/>
          <w:szCs w:val="24"/>
        </w:rPr>
        <w:t>Apergis</w:t>
      </w:r>
      <w:proofErr w:type="spellEnd"/>
      <w:r w:rsidR="008A4246">
        <w:rPr>
          <w:bCs/>
          <w:color w:val="000000"/>
          <w:szCs w:val="24"/>
        </w:rPr>
        <w:t xml:space="preserve"> and Payne (</w:t>
      </w:r>
      <w:r w:rsidR="008A4246" w:rsidRPr="008A4246">
        <w:rPr>
          <w:bCs/>
          <w:i/>
          <w:color w:val="000000"/>
          <w:szCs w:val="24"/>
        </w:rPr>
        <w:t>13</w:t>
      </w:r>
      <w:r w:rsidR="008A4246">
        <w:rPr>
          <w:bCs/>
          <w:color w:val="000000"/>
          <w:szCs w:val="24"/>
        </w:rPr>
        <w:t xml:space="preserve">) and </w:t>
      </w:r>
      <w:proofErr w:type="spellStart"/>
      <w:r w:rsidR="008A4246">
        <w:rPr>
          <w:bCs/>
          <w:color w:val="000000"/>
          <w:szCs w:val="24"/>
        </w:rPr>
        <w:t>Ohler</w:t>
      </w:r>
      <w:proofErr w:type="spellEnd"/>
      <w:r w:rsidR="008A4246">
        <w:rPr>
          <w:bCs/>
          <w:color w:val="000000"/>
          <w:szCs w:val="24"/>
        </w:rPr>
        <w:t xml:space="preserve"> and Fetters (</w:t>
      </w:r>
      <w:r w:rsidR="008A4246" w:rsidRPr="008A4246">
        <w:rPr>
          <w:bCs/>
          <w:i/>
          <w:color w:val="000000"/>
          <w:szCs w:val="24"/>
        </w:rPr>
        <w:t>14</w:t>
      </w:r>
      <w:r w:rsidR="008A4246">
        <w:rPr>
          <w:bCs/>
          <w:color w:val="000000"/>
          <w:szCs w:val="24"/>
        </w:rPr>
        <w:t xml:space="preserve">) </w:t>
      </w:r>
      <w:r w:rsidRPr="00EB589A">
        <w:rPr>
          <w:bCs/>
          <w:color w:val="000000"/>
          <w:szCs w:val="24"/>
        </w:rPr>
        <w:t>for similar results). Due to the persistent efforts to provide transmission facilities to wind energy producers in Texas</w:t>
      </w:r>
      <w:r w:rsidR="008757E0">
        <w:rPr>
          <w:bCs/>
          <w:color w:val="000000"/>
          <w:szCs w:val="24"/>
        </w:rPr>
        <w:t xml:space="preserve"> </w:t>
      </w:r>
      <w:r w:rsidRPr="00EB589A">
        <w:rPr>
          <w:bCs/>
          <w:color w:val="000000"/>
          <w:szCs w:val="24"/>
        </w:rPr>
        <w:t>and the direct relation</w:t>
      </w:r>
      <w:r w:rsidR="00583F80">
        <w:rPr>
          <w:bCs/>
          <w:color w:val="000000"/>
          <w:szCs w:val="24"/>
        </w:rPr>
        <w:t>ship</w:t>
      </w:r>
      <w:r w:rsidRPr="00EB589A">
        <w:rPr>
          <w:bCs/>
          <w:color w:val="000000"/>
          <w:szCs w:val="24"/>
        </w:rPr>
        <w:t xml:space="preserve"> between energy production and transmission, wind farms tend to be located close to the electric transmission lines. The introduction of the</w:t>
      </w:r>
      <w:r w:rsidR="00E81E8A">
        <w:rPr>
          <w:bCs/>
          <w:color w:val="000000"/>
          <w:szCs w:val="24"/>
        </w:rPr>
        <w:t xml:space="preserve"> Senate Bill 20 of the</w:t>
      </w:r>
      <w:r w:rsidRPr="00EB589A">
        <w:rPr>
          <w:bCs/>
          <w:color w:val="000000"/>
          <w:szCs w:val="24"/>
        </w:rPr>
        <w:t xml:space="preserve"> RPS in 2005 has </w:t>
      </w:r>
      <w:r w:rsidR="000E552C">
        <w:rPr>
          <w:bCs/>
          <w:color w:val="000000"/>
          <w:szCs w:val="24"/>
        </w:rPr>
        <w:t xml:space="preserve">had </w:t>
      </w:r>
      <w:r w:rsidRPr="00EB589A">
        <w:rPr>
          <w:bCs/>
          <w:color w:val="000000"/>
          <w:szCs w:val="24"/>
        </w:rPr>
        <w:t xml:space="preserve">a positive impact </w:t>
      </w:r>
      <w:r w:rsidR="000E552C">
        <w:rPr>
          <w:bCs/>
          <w:color w:val="000000"/>
          <w:szCs w:val="24"/>
        </w:rPr>
        <w:t>o</w:t>
      </w:r>
      <w:r w:rsidRPr="00EB589A">
        <w:rPr>
          <w:bCs/>
          <w:color w:val="000000"/>
          <w:szCs w:val="24"/>
        </w:rPr>
        <w:t xml:space="preserve">n the amount of energy installed, as expected. Of all the CREZs defined by PUC, the zones located in West Texas </w:t>
      </w:r>
      <w:r w:rsidRPr="00EB589A">
        <w:rPr>
          <w:bCs/>
          <w:color w:val="000000"/>
          <w:szCs w:val="24"/>
        </w:rPr>
        <w:lastRenderedPageBreak/>
        <w:t xml:space="preserve">will have fewer wind farms, in comparison with the other three (Central Texas, North Texas, and the Panhandle). </w:t>
      </w:r>
      <w:r w:rsidR="00B31B84">
        <w:rPr>
          <w:bCs/>
          <w:color w:val="000000"/>
          <w:szCs w:val="24"/>
        </w:rPr>
        <w:t>In fact</w:t>
      </w:r>
      <w:r w:rsidRPr="00EB589A">
        <w:rPr>
          <w:bCs/>
          <w:color w:val="000000"/>
          <w:szCs w:val="24"/>
        </w:rPr>
        <w:t>, the Panhandle will evidence the highest amount of energy installed in the coming years. Surprisingly, a higher WCP is related to a</w:t>
      </w:r>
      <w:r w:rsidR="00B31B84">
        <w:rPr>
          <w:bCs/>
          <w:color w:val="000000"/>
          <w:szCs w:val="24"/>
        </w:rPr>
        <w:t xml:space="preserve"> </w:t>
      </w:r>
      <w:r w:rsidR="00863ABA">
        <w:rPr>
          <w:bCs/>
          <w:color w:val="000000"/>
          <w:szCs w:val="24"/>
        </w:rPr>
        <w:t>smaller amount</w:t>
      </w:r>
      <w:r w:rsidR="00B31B84">
        <w:rPr>
          <w:bCs/>
          <w:color w:val="000000"/>
          <w:szCs w:val="24"/>
        </w:rPr>
        <w:t xml:space="preserve"> of </w:t>
      </w:r>
      <w:r w:rsidRPr="00EB589A">
        <w:rPr>
          <w:bCs/>
          <w:color w:val="000000"/>
          <w:szCs w:val="24"/>
        </w:rPr>
        <w:t xml:space="preserve">wind power energy installed in West Texas. This </w:t>
      </w:r>
      <w:r w:rsidR="00B31B84">
        <w:rPr>
          <w:bCs/>
          <w:color w:val="000000"/>
          <w:szCs w:val="24"/>
        </w:rPr>
        <w:t xml:space="preserve">finding might indicate </w:t>
      </w:r>
      <w:r w:rsidRPr="00EB589A">
        <w:rPr>
          <w:bCs/>
          <w:color w:val="000000"/>
          <w:szCs w:val="24"/>
        </w:rPr>
        <w:t>that the West Texas area</w:t>
      </w:r>
      <w:r w:rsidR="00B31B84">
        <w:rPr>
          <w:bCs/>
          <w:color w:val="000000"/>
          <w:szCs w:val="24"/>
        </w:rPr>
        <w:t xml:space="preserve"> </w:t>
      </w:r>
      <w:r w:rsidRPr="00EB589A">
        <w:rPr>
          <w:bCs/>
          <w:color w:val="000000"/>
          <w:szCs w:val="24"/>
        </w:rPr>
        <w:t xml:space="preserve">is getting less popular for wind energy installations, in comparison with the other three CREZ groups, </w:t>
      </w:r>
      <w:r w:rsidR="00B31B84">
        <w:rPr>
          <w:bCs/>
          <w:color w:val="000000"/>
          <w:szCs w:val="24"/>
        </w:rPr>
        <w:t>because</w:t>
      </w:r>
      <w:r w:rsidR="00B31B84" w:rsidRPr="00EB589A">
        <w:rPr>
          <w:bCs/>
          <w:color w:val="000000"/>
          <w:szCs w:val="24"/>
        </w:rPr>
        <w:t xml:space="preserve"> </w:t>
      </w:r>
      <w:r w:rsidRPr="00EB589A">
        <w:rPr>
          <w:bCs/>
          <w:color w:val="000000"/>
          <w:szCs w:val="24"/>
        </w:rPr>
        <w:t xml:space="preserve">the </w:t>
      </w:r>
      <w:r w:rsidR="00B31B84">
        <w:rPr>
          <w:bCs/>
          <w:color w:val="000000"/>
          <w:szCs w:val="24"/>
        </w:rPr>
        <w:t>sites</w:t>
      </w:r>
      <w:r w:rsidR="00B31B84" w:rsidRPr="00EB589A">
        <w:rPr>
          <w:bCs/>
          <w:color w:val="000000"/>
          <w:szCs w:val="24"/>
        </w:rPr>
        <w:t xml:space="preserve"> </w:t>
      </w:r>
      <w:r w:rsidRPr="00EB589A">
        <w:rPr>
          <w:bCs/>
          <w:color w:val="000000"/>
          <w:szCs w:val="24"/>
        </w:rPr>
        <w:t xml:space="preserve">with high WPC in West Texas are already taken. Finally, the negative effect of </w:t>
      </w:r>
      <w:r w:rsidRPr="00EB589A">
        <w:rPr>
          <w:bCs/>
          <w:i/>
          <w:color w:val="000000"/>
          <w:szCs w:val="24"/>
        </w:rPr>
        <w:t>w</w:t>
      </w:r>
      <w:r w:rsidRPr="00EB589A">
        <w:rPr>
          <w:bCs/>
          <w:i/>
          <w:color w:val="000000"/>
          <w:szCs w:val="24"/>
          <w:vertAlign w:val="subscript"/>
        </w:rPr>
        <w:t>q</w:t>
      </w:r>
      <w:proofErr w:type="gramStart"/>
      <w:r w:rsidRPr="00C6569B">
        <w:rPr>
          <w:bCs/>
          <w:color w:val="000000"/>
          <w:szCs w:val="24"/>
          <w:vertAlign w:val="subscript"/>
        </w:rPr>
        <w:t>,</w:t>
      </w:r>
      <w:r w:rsidRPr="00EB589A">
        <w:rPr>
          <w:bCs/>
          <w:i/>
          <w:color w:val="000000"/>
          <w:szCs w:val="24"/>
          <w:vertAlign w:val="subscript"/>
        </w:rPr>
        <w:t>t</w:t>
      </w:r>
      <w:proofErr w:type="gramEnd"/>
      <w:r w:rsidRPr="00C6569B">
        <w:rPr>
          <w:bCs/>
          <w:color w:val="000000"/>
          <w:szCs w:val="24"/>
          <w:vertAlign w:val="subscript"/>
        </w:rPr>
        <w:t>-1,</w:t>
      </w:r>
      <w:r w:rsidRPr="00EB589A">
        <w:rPr>
          <w:bCs/>
          <w:i/>
          <w:color w:val="000000"/>
          <w:szCs w:val="24"/>
          <w:vertAlign w:val="subscript"/>
        </w:rPr>
        <w:t>t</w:t>
      </w:r>
      <w:r w:rsidRPr="00C6569B">
        <w:rPr>
          <w:bCs/>
          <w:color w:val="000000"/>
          <w:szCs w:val="24"/>
          <w:vertAlign w:val="subscript"/>
        </w:rPr>
        <w:t>-2</w:t>
      </w:r>
      <w:r w:rsidR="001F31FD">
        <w:rPr>
          <w:bCs/>
          <w:i/>
          <w:color w:val="000000"/>
          <w:szCs w:val="24"/>
          <w:vertAlign w:val="subscript"/>
        </w:rPr>
        <w:t xml:space="preserve"> </w:t>
      </w:r>
      <w:r w:rsidRPr="00EB589A">
        <w:rPr>
          <w:bCs/>
          <w:color w:val="000000"/>
          <w:szCs w:val="24"/>
        </w:rPr>
        <w:t xml:space="preserve">on the difference </w:t>
      </w:r>
      <w:r w:rsidR="00485198">
        <w:rPr>
          <w:bCs/>
          <w:color w:val="000000"/>
          <w:szCs w:val="24"/>
        </w:rPr>
        <w:t>in levels of</w:t>
      </w:r>
      <w:r w:rsidR="00485198" w:rsidRPr="00EB589A">
        <w:rPr>
          <w:bCs/>
          <w:color w:val="000000"/>
          <w:szCs w:val="24"/>
        </w:rPr>
        <w:t xml:space="preserve"> </w:t>
      </w:r>
      <w:r w:rsidRPr="00EB589A">
        <w:rPr>
          <w:bCs/>
          <w:color w:val="000000"/>
          <w:szCs w:val="24"/>
        </w:rPr>
        <w:t xml:space="preserve">wind energy installed </w:t>
      </w:r>
      <w:r w:rsidR="00803014">
        <w:rPr>
          <w:bCs/>
          <w:color w:val="000000"/>
          <w:szCs w:val="24"/>
        </w:rPr>
        <w:t>suggests a type of cyclical trend in which a surge in wind farms in a zone (regardless of category) in a certain year is followed by a decrease in the next year</w:t>
      </w:r>
      <w:r w:rsidR="00560DFF">
        <w:rPr>
          <w:bCs/>
          <w:color w:val="000000"/>
          <w:szCs w:val="24"/>
        </w:rPr>
        <w:t>. T</w:t>
      </w:r>
      <w:r w:rsidR="00CC7164">
        <w:rPr>
          <w:bCs/>
          <w:color w:val="000000"/>
          <w:szCs w:val="24"/>
        </w:rPr>
        <w:t>his trend</w:t>
      </w:r>
      <w:r w:rsidR="00D85D5E">
        <w:rPr>
          <w:bCs/>
          <w:color w:val="000000"/>
          <w:szCs w:val="24"/>
        </w:rPr>
        <w:t xml:space="preserve"> </w:t>
      </w:r>
      <w:r w:rsidR="004A557A">
        <w:rPr>
          <w:bCs/>
          <w:color w:val="000000"/>
          <w:szCs w:val="24"/>
        </w:rPr>
        <w:t xml:space="preserve">is </w:t>
      </w:r>
      <w:r w:rsidR="00CC7164">
        <w:rPr>
          <w:bCs/>
          <w:color w:val="000000"/>
          <w:szCs w:val="24"/>
        </w:rPr>
        <w:t xml:space="preserve">also obvious from </w:t>
      </w:r>
      <w:r w:rsidR="004A557A">
        <w:rPr>
          <w:bCs/>
          <w:color w:val="000000"/>
          <w:szCs w:val="24"/>
        </w:rPr>
        <w:t xml:space="preserve">a diagrammatic representation of year-to-year trends available at </w:t>
      </w:r>
      <w:hyperlink r:id="rId18" w:history="1">
        <w:r w:rsidR="002C72A5" w:rsidRPr="001D64F7">
          <w:rPr>
            <w:rStyle w:val="Hyperlink"/>
            <w:bCs/>
            <w:szCs w:val="24"/>
          </w:rPr>
          <w:t>https://drive.google.com/open?id=0B6qUEbsZcZ-IQVo2MjBCbVlXWlE</w:t>
        </w:r>
      </w:hyperlink>
      <w:r w:rsidR="00803014" w:rsidRPr="002C72A5">
        <w:rPr>
          <w:bCs/>
          <w:color w:val="000000"/>
          <w:szCs w:val="24"/>
        </w:rPr>
        <w:t>.</w:t>
      </w:r>
      <w:r w:rsidR="00803014">
        <w:rPr>
          <w:bCs/>
          <w:color w:val="000000"/>
          <w:szCs w:val="24"/>
        </w:rPr>
        <w:t xml:space="preserve"> This cyclical trend is more pronounced for the Central Texas category (</w:t>
      </w:r>
      <w:r w:rsidR="005C1C9C">
        <w:rPr>
          <w:bCs/>
          <w:color w:val="000000"/>
          <w:szCs w:val="24"/>
        </w:rPr>
        <w:t xml:space="preserve">which </w:t>
      </w:r>
      <w:r w:rsidR="00803014">
        <w:rPr>
          <w:bCs/>
          <w:color w:val="000000"/>
          <w:szCs w:val="24"/>
        </w:rPr>
        <w:t xml:space="preserve">corresponds to the coefficient -0.227), </w:t>
      </w:r>
      <w:r w:rsidR="00863548">
        <w:rPr>
          <w:bCs/>
          <w:color w:val="000000"/>
          <w:szCs w:val="24"/>
        </w:rPr>
        <w:t>compared to the non-Central Texas categories (</w:t>
      </w:r>
      <w:r w:rsidR="005C1C9C">
        <w:rPr>
          <w:bCs/>
          <w:color w:val="000000"/>
          <w:szCs w:val="24"/>
        </w:rPr>
        <w:t xml:space="preserve">which </w:t>
      </w:r>
      <w:r w:rsidR="00863548">
        <w:rPr>
          <w:bCs/>
          <w:color w:val="000000"/>
          <w:szCs w:val="24"/>
        </w:rPr>
        <w:t>correspond to the coefficient value of -0.227</w:t>
      </w:r>
      <w:r w:rsidR="005C1C9C">
        <w:rPr>
          <w:bCs/>
          <w:color w:val="000000"/>
          <w:szCs w:val="24"/>
        </w:rPr>
        <w:t xml:space="preserve"> </w:t>
      </w:r>
      <w:r w:rsidR="00863548">
        <w:rPr>
          <w:bCs/>
          <w:color w:val="000000"/>
          <w:szCs w:val="24"/>
        </w:rPr>
        <w:t>+</w:t>
      </w:r>
      <w:r w:rsidR="005C1C9C">
        <w:rPr>
          <w:bCs/>
          <w:color w:val="000000"/>
          <w:szCs w:val="24"/>
        </w:rPr>
        <w:t xml:space="preserve"> </w:t>
      </w:r>
      <w:r w:rsidR="00863548">
        <w:rPr>
          <w:bCs/>
          <w:color w:val="000000"/>
          <w:szCs w:val="24"/>
        </w:rPr>
        <w:t>0.05</w:t>
      </w:r>
      <w:r w:rsidR="001A6D59">
        <w:rPr>
          <w:bCs/>
          <w:color w:val="000000"/>
          <w:szCs w:val="24"/>
        </w:rPr>
        <w:t>7</w:t>
      </w:r>
      <w:r w:rsidR="005C1C9C">
        <w:rPr>
          <w:bCs/>
          <w:color w:val="000000"/>
          <w:szCs w:val="24"/>
        </w:rPr>
        <w:t xml:space="preserve"> </w:t>
      </w:r>
      <w:r w:rsidR="001A6D59">
        <w:rPr>
          <w:bCs/>
          <w:color w:val="000000"/>
          <w:szCs w:val="24"/>
        </w:rPr>
        <w:t>=</w:t>
      </w:r>
      <w:r w:rsidR="005C1C9C">
        <w:rPr>
          <w:bCs/>
          <w:color w:val="000000"/>
          <w:szCs w:val="24"/>
        </w:rPr>
        <w:t xml:space="preserve"> </w:t>
      </w:r>
      <w:r w:rsidR="001A6D59">
        <w:rPr>
          <w:bCs/>
          <w:color w:val="000000"/>
          <w:szCs w:val="24"/>
        </w:rPr>
        <w:t>-0.170</w:t>
      </w:r>
      <w:r w:rsidR="00863548">
        <w:rPr>
          <w:bCs/>
          <w:color w:val="000000"/>
          <w:szCs w:val="24"/>
        </w:rPr>
        <w:t>).</w:t>
      </w:r>
    </w:p>
    <w:p w14:paraId="6818CC84" w14:textId="77777777" w:rsidR="00C57DAA" w:rsidRDefault="00D1131C" w:rsidP="0067454F">
      <w:pPr>
        <w:jc w:val="both"/>
        <w:rPr>
          <w:szCs w:val="24"/>
        </w:rPr>
      </w:pPr>
      <w:r>
        <w:rPr>
          <w:b/>
          <w:caps/>
          <w:szCs w:val="24"/>
        </w:rPr>
        <w:tab/>
      </w:r>
      <w:r>
        <w:rPr>
          <w:szCs w:val="24"/>
        </w:rPr>
        <w:t>The adjusted R</w:t>
      </w:r>
      <w:r w:rsidRPr="00D1131C">
        <w:rPr>
          <w:szCs w:val="24"/>
          <w:vertAlign w:val="superscript"/>
        </w:rPr>
        <w:t>2</w:t>
      </w:r>
      <w:r>
        <w:rPr>
          <w:szCs w:val="24"/>
          <w:vertAlign w:val="superscript"/>
        </w:rPr>
        <w:t xml:space="preserve"> </w:t>
      </w:r>
      <w:r w:rsidRPr="00D1131C">
        <w:rPr>
          <w:szCs w:val="24"/>
        </w:rPr>
        <w:t xml:space="preserve">value </w:t>
      </w:r>
      <w:r>
        <w:rPr>
          <w:szCs w:val="24"/>
        </w:rPr>
        <w:t xml:space="preserve">from our linear regression is 0.32, indicating that we are able to explain 32% of the variation in wind energy production across the </w:t>
      </w:r>
      <w:r w:rsidR="00501279">
        <w:rPr>
          <w:szCs w:val="24"/>
        </w:rPr>
        <w:t xml:space="preserve">208,458 Census Block Group-year combinations. While this </w:t>
      </w:r>
      <w:r w:rsidR="00C57DAA">
        <w:rPr>
          <w:szCs w:val="24"/>
        </w:rPr>
        <w:t>adjusted R</w:t>
      </w:r>
      <w:r w:rsidR="00C57DAA" w:rsidRPr="00D1131C">
        <w:rPr>
          <w:szCs w:val="24"/>
          <w:vertAlign w:val="superscript"/>
        </w:rPr>
        <w:t>2</w:t>
      </w:r>
      <w:r w:rsidR="00C57DAA">
        <w:rPr>
          <w:szCs w:val="24"/>
          <w:vertAlign w:val="superscript"/>
        </w:rPr>
        <w:t xml:space="preserve"> </w:t>
      </w:r>
      <w:r w:rsidR="00501279">
        <w:rPr>
          <w:szCs w:val="24"/>
        </w:rPr>
        <w:t xml:space="preserve">may seem on the low side, it should be noted that </w:t>
      </w:r>
      <w:r w:rsidR="00C57DAA">
        <w:rPr>
          <w:szCs w:val="24"/>
        </w:rPr>
        <w:t>our</w:t>
      </w:r>
      <w:r w:rsidR="00501279">
        <w:rPr>
          <w:szCs w:val="24"/>
        </w:rPr>
        <w:t xml:space="preserve"> regression is based on a very fine spatial resolution and over 18 years. Aggre</w:t>
      </w:r>
      <w:r w:rsidR="00C57DAA">
        <w:rPr>
          <w:szCs w:val="24"/>
        </w:rPr>
        <w:t>gate models developed at coarser spatial resolutions would produce higher R</w:t>
      </w:r>
      <w:r w:rsidR="00C57DAA" w:rsidRPr="00D1131C">
        <w:rPr>
          <w:szCs w:val="24"/>
          <w:vertAlign w:val="superscript"/>
        </w:rPr>
        <w:t>2</w:t>
      </w:r>
      <w:r w:rsidR="00C57DAA">
        <w:rPr>
          <w:szCs w:val="24"/>
          <w:vertAlign w:val="superscript"/>
        </w:rPr>
        <w:t xml:space="preserve"> </w:t>
      </w:r>
      <w:r w:rsidR="00C57DAA" w:rsidRPr="00D1131C">
        <w:rPr>
          <w:szCs w:val="24"/>
        </w:rPr>
        <w:t>value</w:t>
      </w:r>
      <w:r w:rsidR="00C57DAA">
        <w:rPr>
          <w:szCs w:val="24"/>
        </w:rPr>
        <w:t>s, but do not have the ability to provide the kind of disaggregate spatial predictions that our model can. Besides, our model’s predictions can always be aggregated up to coarser spatial resolutions</w:t>
      </w:r>
      <w:r w:rsidR="004A557A">
        <w:rPr>
          <w:szCs w:val="24"/>
        </w:rPr>
        <w:t xml:space="preserve">, as we do in developing route plans based on the predictions (see Section 3.2). </w:t>
      </w:r>
    </w:p>
    <w:p w14:paraId="1A6AE009" w14:textId="77777777" w:rsidR="00C57DAA" w:rsidRDefault="00C57DAA" w:rsidP="0067454F">
      <w:pPr>
        <w:pStyle w:val="Heading3"/>
        <w:spacing w:line="240" w:lineRule="auto"/>
        <w:rPr>
          <w:bCs/>
          <w:color w:val="000000"/>
          <w:szCs w:val="24"/>
        </w:rPr>
      </w:pPr>
    </w:p>
    <w:p w14:paraId="11218B52" w14:textId="77777777" w:rsidR="00EB589A" w:rsidRDefault="00620F92" w:rsidP="0067454F">
      <w:pPr>
        <w:pStyle w:val="Heading3"/>
        <w:spacing w:line="240" w:lineRule="auto"/>
      </w:pPr>
      <w:r>
        <w:rPr>
          <w:bCs/>
          <w:color w:val="000000"/>
          <w:szCs w:val="24"/>
        </w:rPr>
        <w:t>3</w:t>
      </w:r>
      <w:r w:rsidR="00EB589A" w:rsidRPr="006C202C">
        <w:rPr>
          <w:bCs/>
          <w:color w:val="000000"/>
          <w:szCs w:val="24"/>
        </w:rPr>
        <w:t>.1.</w:t>
      </w:r>
      <w:r w:rsidR="00EB589A">
        <w:rPr>
          <w:bCs/>
          <w:color w:val="000000"/>
          <w:szCs w:val="24"/>
        </w:rPr>
        <w:t>4</w:t>
      </w:r>
      <w:r w:rsidR="00EB589A" w:rsidRPr="006C202C">
        <w:rPr>
          <w:bCs/>
          <w:color w:val="000000"/>
          <w:szCs w:val="24"/>
        </w:rPr>
        <w:t xml:space="preserve">. </w:t>
      </w:r>
      <w:r w:rsidR="00EB589A">
        <w:t>Wind Power Installation Prediction</w:t>
      </w:r>
    </w:p>
    <w:p w14:paraId="4EEA784B" w14:textId="77777777" w:rsidR="00C25C75" w:rsidRPr="00A769AD" w:rsidRDefault="00414FD5" w:rsidP="0067454F">
      <w:pPr>
        <w:jc w:val="both"/>
        <w:rPr>
          <w:b/>
          <w:szCs w:val="24"/>
        </w:rPr>
      </w:pPr>
      <w:r w:rsidRPr="00414FD5">
        <w:rPr>
          <w:bCs/>
          <w:color w:val="000000"/>
          <w:szCs w:val="24"/>
        </w:rPr>
        <w:t>We applied our model to each zone year by year through 2025, keeping constant the zone characteristics, but varying the percent</w:t>
      </w:r>
      <w:r w:rsidR="00A238C5">
        <w:rPr>
          <w:bCs/>
          <w:color w:val="000000"/>
          <w:szCs w:val="24"/>
        </w:rPr>
        <w:t>age</w:t>
      </w:r>
      <w:r w:rsidRPr="00414FD5">
        <w:rPr>
          <w:bCs/>
          <w:color w:val="000000"/>
          <w:szCs w:val="24"/>
        </w:rPr>
        <w:t xml:space="preserve"> change of GDP following the predictions available on the World Bank website</w:t>
      </w:r>
      <w:r w:rsidR="00125EAC">
        <w:rPr>
          <w:bCs/>
          <w:color w:val="000000"/>
          <w:szCs w:val="24"/>
        </w:rPr>
        <w:t>.</w:t>
      </w:r>
      <w:r w:rsidRPr="00414FD5">
        <w:rPr>
          <w:bCs/>
          <w:color w:val="000000"/>
          <w:szCs w:val="24"/>
        </w:rPr>
        <w:t xml:space="preserve"> </w:t>
      </w:r>
      <w:r w:rsidR="00125EAC">
        <w:rPr>
          <w:bCs/>
          <w:color w:val="000000"/>
          <w:szCs w:val="24"/>
        </w:rPr>
        <w:t>T</w:t>
      </w:r>
      <w:r w:rsidRPr="00414FD5">
        <w:rPr>
          <w:bCs/>
          <w:color w:val="000000"/>
          <w:szCs w:val="24"/>
        </w:rPr>
        <w:t xml:space="preserve">he total amount of wind energy installed </w:t>
      </w:r>
      <w:r w:rsidR="006561D7">
        <w:rPr>
          <w:bCs/>
          <w:color w:val="000000"/>
          <w:szCs w:val="24"/>
        </w:rPr>
        <w:t xml:space="preserve">is predicted to </w:t>
      </w:r>
      <w:r w:rsidRPr="00414FD5">
        <w:rPr>
          <w:bCs/>
          <w:color w:val="000000"/>
          <w:szCs w:val="24"/>
        </w:rPr>
        <w:t xml:space="preserve">slightly increase with time. </w:t>
      </w:r>
      <w:r w:rsidR="00B365B8">
        <w:rPr>
          <w:bCs/>
          <w:color w:val="000000"/>
          <w:szCs w:val="24"/>
        </w:rPr>
        <w:t>The d</w:t>
      </w:r>
      <w:r>
        <w:rPr>
          <w:bCs/>
          <w:color w:val="000000"/>
          <w:szCs w:val="24"/>
        </w:rPr>
        <w:t xml:space="preserve">etailed results of our predictions, including a map indicating the amount of energy installed each year in each census block group, can be </w:t>
      </w:r>
      <w:r w:rsidRPr="00985C70">
        <w:rPr>
          <w:bCs/>
          <w:color w:val="000000"/>
          <w:szCs w:val="24"/>
        </w:rPr>
        <w:t>found online at</w:t>
      </w:r>
      <w:r w:rsidR="00985C70" w:rsidRPr="00985C70">
        <w:t xml:space="preserve"> </w:t>
      </w:r>
      <w:hyperlink r:id="rId19" w:history="1">
        <w:r w:rsidR="00CD46E2" w:rsidRPr="00731BA4">
          <w:rPr>
            <w:rStyle w:val="Hyperlink"/>
            <w:bCs/>
            <w:szCs w:val="24"/>
          </w:rPr>
          <w:t>http://arcg.is/1OYv8c0</w:t>
        </w:r>
      </w:hyperlink>
      <w:r w:rsidRPr="00985C70">
        <w:rPr>
          <w:bCs/>
          <w:color w:val="000000"/>
          <w:szCs w:val="24"/>
        </w:rPr>
        <w:t>.</w:t>
      </w:r>
      <w:r w:rsidR="00C178D5">
        <w:rPr>
          <w:rStyle w:val="FootnoteReference"/>
          <w:bCs/>
          <w:color w:val="000000"/>
          <w:szCs w:val="24"/>
        </w:rPr>
        <w:footnoteReference w:id="4"/>
      </w:r>
      <w:r w:rsidR="00CD46E2">
        <w:rPr>
          <w:bCs/>
          <w:color w:val="000000"/>
          <w:szCs w:val="24"/>
        </w:rPr>
        <w:t xml:space="preserve"> </w:t>
      </w:r>
      <w:r>
        <w:rPr>
          <w:bCs/>
          <w:color w:val="000000"/>
          <w:szCs w:val="24"/>
        </w:rPr>
        <w:t xml:space="preserve"> </w:t>
      </w:r>
    </w:p>
    <w:p w14:paraId="1415B53B" w14:textId="77777777" w:rsidR="007601B2" w:rsidRDefault="007601B2" w:rsidP="0067454F">
      <w:pPr>
        <w:pStyle w:val="Heading2"/>
        <w:spacing w:line="240" w:lineRule="auto"/>
      </w:pPr>
    </w:p>
    <w:p w14:paraId="1FD66610" w14:textId="77777777" w:rsidR="00C25C75" w:rsidRDefault="00620F92" w:rsidP="0067454F">
      <w:pPr>
        <w:pStyle w:val="Heading2"/>
        <w:spacing w:line="240" w:lineRule="auto"/>
      </w:pPr>
      <w:r>
        <w:t>3</w:t>
      </w:r>
      <w:r w:rsidR="00414FD5">
        <w:t>.2</w:t>
      </w:r>
      <w:r w:rsidR="00022A3E">
        <w:t>.</w:t>
      </w:r>
      <w:r w:rsidR="00C25C75" w:rsidRPr="006F254A">
        <w:t xml:space="preserve"> </w:t>
      </w:r>
      <w:r w:rsidR="000E38F8">
        <w:t xml:space="preserve">Route </w:t>
      </w:r>
      <w:r w:rsidR="009F17CC">
        <w:t>Plan Development</w:t>
      </w:r>
    </w:p>
    <w:p w14:paraId="7F162E2E" w14:textId="77777777" w:rsidR="00A23A0A" w:rsidRPr="007770E1" w:rsidRDefault="007770E1" w:rsidP="0067454F">
      <w:pPr>
        <w:jc w:val="both"/>
      </w:pPr>
      <w:r>
        <w:t xml:space="preserve">To propose a plan to transport the </w:t>
      </w:r>
      <w:r w:rsidR="008D11DD">
        <w:t xml:space="preserve">number </w:t>
      </w:r>
      <w:r>
        <w:t>of wind turbine</w:t>
      </w:r>
      <w:r w:rsidR="00AD1595">
        <w:t>s</w:t>
      </w:r>
      <w:r>
        <w:t xml:space="preserve"> necessary to produce the amount of energy we just predicted with our model, we need to make some assumptions about the wind energy industry</w:t>
      </w:r>
      <w:r w:rsidR="00AD1595">
        <w:t xml:space="preserve"> and the related supply</w:t>
      </w:r>
      <w:r w:rsidR="008D11DD">
        <w:t xml:space="preserve"> </w:t>
      </w:r>
      <w:r w:rsidR="00AD1595">
        <w:t>chain</w:t>
      </w:r>
      <w:r>
        <w:t>. Based on interviews</w:t>
      </w:r>
      <w:r w:rsidR="00866F1C">
        <w:t xml:space="preserve"> </w:t>
      </w:r>
      <w:r w:rsidR="008B20D5">
        <w:t>with</w:t>
      </w:r>
      <w:r w:rsidR="00866F1C">
        <w:t xml:space="preserve"> manufacturers and </w:t>
      </w:r>
      <w:r w:rsidR="008B20D5">
        <w:t>shippers</w:t>
      </w:r>
      <w:r>
        <w:t xml:space="preserve">, previous </w:t>
      </w:r>
      <w:proofErr w:type="spellStart"/>
      <w:r>
        <w:t>TxDOT</w:t>
      </w:r>
      <w:proofErr w:type="spellEnd"/>
      <w:r>
        <w:t xml:space="preserve"> reports, and the data</w:t>
      </w:r>
      <w:r w:rsidR="008B20D5">
        <w:t>set listing</w:t>
      </w:r>
      <w:r>
        <w:t xml:space="preserve"> the permits issued by </w:t>
      </w:r>
      <w:proofErr w:type="spellStart"/>
      <w:r>
        <w:t>TxPROS</w:t>
      </w:r>
      <w:proofErr w:type="spellEnd"/>
      <w:r>
        <w:t xml:space="preserve"> from 2007 to 2009</w:t>
      </w:r>
      <w:r w:rsidR="00754152">
        <w:t xml:space="preserve"> (although the amount of wind turbines installed increases every year, we assume that some statistics from this data set, like the percentage of wind turbine that are transported by rail, remain the same as years pass by)</w:t>
      </w:r>
      <w:r>
        <w:t xml:space="preserve">, we </w:t>
      </w:r>
      <w:r w:rsidR="008B20D5">
        <w:t xml:space="preserve">base our route plan on </w:t>
      </w:r>
      <w:r>
        <w:t>the following</w:t>
      </w:r>
      <w:r w:rsidR="00A23A0A">
        <w:t xml:space="preserve"> assumptions</w:t>
      </w:r>
      <w:r>
        <w:t>:</w:t>
      </w:r>
    </w:p>
    <w:p w14:paraId="10F687A9" w14:textId="77777777" w:rsidR="00A23A0A" w:rsidRDefault="002634D8" w:rsidP="0067454F">
      <w:pPr>
        <w:numPr>
          <w:ilvl w:val="0"/>
          <w:numId w:val="16"/>
        </w:numPr>
        <w:jc w:val="both"/>
        <w:rPr>
          <w:bCs/>
          <w:color w:val="000000"/>
          <w:szCs w:val="24"/>
        </w:rPr>
      </w:pPr>
      <w:r>
        <w:rPr>
          <w:bCs/>
          <w:color w:val="000000"/>
          <w:szCs w:val="24"/>
        </w:rPr>
        <w:t>Th</w:t>
      </w:r>
      <w:r w:rsidR="00A23A0A">
        <w:t>e</w:t>
      </w:r>
      <w:r w:rsidR="00A23A0A" w:rsidRPr="00A23A0A">
        <w:rPr>
          <w:bCs/>
          <w:color w:val="000000"/>
          <w:szCs w:val="24"/>
        </w:rPr>
        <w:t xml:space="preserve"> most common wind turbine installed so far in Texas </w:t>
      </w:r>
      <w:r w:rsidR="00FF5A48">
        <w:rPr>
          <w:bCs/>
          <w:color w:val="000000"/>
          <w:szCs w:val="24"/>
        </w:rPr>
        <w:t>has a</w:t>
      </w:r>
      <w:r w:rsidR="00A23A0A" w:rsidRPr="00A23A0A">
        <w:rPr>
          <w:bCs/>
          <w:color w:val="000000"/>
          <w:szCs w:val="24"/>
        </w:rPr>
        <w:t xml:space="preserve"> capacity </w:t>
      </w:r>
      <w:r w:rsidR="00FF5A48">
        <w:rPr>
          <w:bCs/>
          <w:color w:val="000000"/>
          <w:szCs w:val="24"/>
        </w:rPr>
        <w:t xml:space="preserve">of </w:t>
      </w:r>
      <w:r w:rsidR="00A23A0A" w:rsidRPr="00A23A0A">
        <w:rPr>
          <w:bCs/>
          <w:color w:val="000000"/>
          <w:szCs w:val="24"/>
        </w:rPr>
        <w:t>1.5</w:t>
      </w:r>
      <w:r w:rsidR="00FF5A48">
        <w:rPr>
          <w:bCs/>
          <w:color w:val="000000"/>
          <w:szCs w:val="24"/>
        </w:rPr>
        <w:t xml:space="preserve"> </w:t>
      </w:r>
      <w:r w:rsidR="00A23A0A">
        <w:rPr>
          <w:bCs/>
          <w:color w:val="000000"/>
          <w:szCs w:val="24"/>
        </w:rPr>
        <w:t xml:space="preserve">MW, so we </w:t>
      </w:r>
      <w:r w:rsidR="0046517F">
        <w:rPr>
          <w:bCs/>
          <w:color w:val="000000"/>
          <w:szCs w:val="24"/>
        </w:rPr>
        <w:t xml:space="preserve">assume </w:t>
      </w:r>
      <w:r w:rsidR="00A23A0A">
        <w:rPr>
          <w:bCs/>
          <w:color w:val="000000"/>
          <w:szCs w:val="24"/>
        </w:rPr>
        <w:t xml:space="preserve">that </w:t>
      </w:r>
      <w:r w:rsidR="0046517F">
        <w:rPr>
          <w:bCs/>
          <w:color w:val="000000"/>
          <w:szCs w:val="24"/>
        </w:rPr>
        <w:t>future</w:t>
      </w:r>
      <w:r w:rsidR="00A23A0A">
        <w:rPr>
          <w:bCs/>
          <w:color w:val="000000"/>
          <w:szCs w:val="24"/>
        </w:rPr>
        <w:t xml:space="preserve"> turbines</w:t>
      </w:r>
      <w:r w:rsidR="0046517F">
        <w:rPr>
          <w:bCs/>
          <w:color w:val="000000"/>
          <w:szCs w:val="24"/>
        </w:rPr>
        <w:t xml:space="preserve"> </w:t>
      </w:r>
      <w:r w:rsidR="002E4079">
        <w:rPr>
          <w:bCs/>
          <w:color w:val="000000"/>
          <w:szCs w:val="24"/>
        </w:rPr>
        <w:t xml:space="preserve">will </w:t>
      </w:r>
      <w:r w:rsidR="00A23A0A">
        <w:rPr>
          <w:bCs/>
          <w:color w:val="000000"/>
          <w:szCs w:val="24"/>
        </w:rPr>
        <w:t>have that capacity.</w:t>
      </w:r>
    </w:p>
    <w:p w14:paraId="5CBF15EA" w14:textId="77777777" w:rsidR="002634D8" w:rsidRPr="00A23A0A" w:rsidRDefault="0046517F" w:rsidP="0067454F">
      <w:pPr>
        <w:numPr>
          <w:ilvl w:val="0"/>
          <w:numId w:val="16"/>
        </w:numPr>
        <w:jc w:val="both"/>
        <w:rPr>
          <w:bCs/>
          <w:color w:val="000000"/>
          <w:szCs w:val="24"/>
        </w:rPr>
      </w:pPr>
      <w:r>
        <w:rPr>
          <w:bCs/>
          <w:color w:val="000000"/>
          <w:szCs w:val="24"/>
        </w:rPr>
        <w:lastRenderedPageBreak/>
        <w:t>Transporting t</w:t>
      </w:r>
      <w:r w:rsidR="002634D8">
        <w:rPr>
          <w:bCs/>
          <w:color w:val="000000"/>
          <w:szCs w:val="24"/>
        </w:rPr>
        <w:t xml:space="preserve">he 1.5MW turbine </w:t>
      </w:r>
      <w:r>
        <w:rPr>
          <w:bCs/>
          <w:color w:val="000000"/>
          <w:szCs w:val="24"/>
        </w:rPr>
        <w:t xml:space="preserve">requires </w:t>
      </w:r>
      <w:r w:rsidR="002634D8">
        <w:rPr>
          <w:bCs/>
          <w:color w:val="000000"/>
          <w:szCs w:val="24"/>
        </w:rPr>
        <w:t>eight trucks</w:t>
      </w:r>
      <w:r>
        <w:rPr>
          <w:bCs/>
          <w:color w:val="000000"/>
          <w:szCs w:val="24"/>
        </w:rPr>
        <w:t xml:space="preserve"> with</w:t>
      </w:r>
      <w:r w:rsidR="002634D8">
        <w:rPr>
          <w:bCs/>
          <w:color w:val="000000"/>
          <w:szCs w:val="24"/>
        </w:rPr>
        <w:t xml:space="preserve"> the following dimensions (in terms of height and load, including the corresponding wind turbine components):</w:t>
      </w:r>
      <w:r w:rsidR="00A23A0A">
        <w:rPr>
          <w:bCs/>
          <w:color w:val="000000"/>
          <w:szCs w:val="24"/>
        </w:rPr>
        <w:t xml:space="preserve"> 1) </w:t>
      </w:r>
      <w:r>
        <w:rPr>
          <w:bCs/>
          <w:color w:val="000000"/>
          <w:szCs w:val="24"/>
        </w:rPr>
        <w:t xml:space="preserve">height </w:t>
      </w:r>
      <w:r w:rsidR="00A23A0A">
        <w:rPr>
          <w:bCs/>
          <w:color w:val="000000"/>
          <w:szCs w:val="24"/>
        </w:rPr>
        <w:t xml:space="preserve">16’4’’ and weight 116 tons, 2) height 16’4’’ and weight 100 tons, 3) height 14’6’’ and weight 64.4 tons, 4) height 17’4’’ and weight 56 tons, 5) height 14’2’’ and weight 45.5 tons, 6) height 14’6’’ and weight 109 tons, 7) height 14’6’’ and weight 39 tons, and 8) height 14’ and </w:t>
      </w:r>
      <w:r>
        <w:rPr>
          <w:bCs/>
          <w:color w:val="000000"/>
          <w:szCs w:val="24"/>
        </w:rPr>
        <w:t>weight</w:t>
      </w:r>
      <w:r w:rsidR="00A23A0A">
        <w:rPr>
          <w:bCs/>
          <w:color w:val="000000"/>
          <w:szCs w:val="24"/>
        </w:rPr>
        <w:t xml:space="preserve"> 42.5 tons.</w:t>
      </w:r>
    </w:p>
    <w:p w14:paraId="29B8A2B4" w14:textId="77777777" w:rsidR="002634D8" w:rsidRDefault="0046517F" w:rsidP="0067454F">
      <w:pPr>
        <w:numPr>
          <w:ilvl w:val="0"/>
          <w:numId w:val="16"/>
        </w:numPr>
        <w:jc w:val="both"/>
        <w:rPr>
          <w:bCs/>
          <w:color w:val="000000"/>
          <w:szCs w:val="24"/>
        </w:rPr>
      </w:pPr>
      <w:r>
        <w:rPr>
          <w:bCs/>
          <w:color w:val="000000"/>
          <w:szCs w:val="24"/>
        </w:rPr>
        <w:t xml:space="preserve">An estimated </w:t>
      </w:r>
      <w:r w:rsidR="00866F1C">
        <w:rPr>
          <w:bCs/>
          <w:color w:val="000000"/>
          <w:szCs w:val="24"/>
        </w:rPr>
        <w:t>17</w:t>
      </w:r>
      <w:r w:rsidR="002634D8">
        <w:rPr>
          <w:bCs/>
          <w:color w:val="000000"/>
          <w:szCs w:val="24"/>
        </w:rPr>
        <w:t xml:space="preserve">% </w:t>
      </w:r>
      <w:r w:rsidR="00866F1C">
        <w:rPr>
          <w:bCs/>
          <w:color w:val="000000"/>
          <w:szCs w:val="24"/>
        </w:rPr>
        <w:t xml:space="preserve">of the wind turbines </w:t>
      </w:r>
      <w:r w:rsidR="002E4079">
        <w:rPr>
          <w:bCs/>
          <w:color w:val="000000"/>
          <w:szCs w:val="24"/>
        </w:rPr>
        <w:t>are</w:t>
      </w:r>
      <w:r w:rsidR="002634D8">
        <w:rPr>
          <w:bCs/>
          <w:color w:val="000000"/>
          <w:szCs w:val="24"/>
        </w:rPr>
        <w:t xml:space="preserve"> transported by rail.</w:t>
      </w:r>
    </w:p>
    <w:p w14:paraId="2B468E10" w14:textId="77777777" w:rsidR="002634D8" w:rsidRDefault="000E38F8" w:rsidP="0067454F">
      <w:pPr>
        <w:numPr>
          <w:ilvl w:val="0"/>
          <w:numId w:val="16"/>
        </w:numPr>
        <w:jc w:val="both"/>
        <w:rPr>
          <w:bCs/>
          <w:color w:val="000000"/>
          <w:szCs w:val="24"/>
        </w:rPr>
      </w:pPr>
      <w:r>
        <w:rPr>
          <w:bCs/>
          <w:color w:val="000000"/>
          <w:szCs w:val="24"/>
        </w:rPr>
        <w:t xml:space="preserve">We will consider </w:t>
      </w:r>
      <w:r w:rsidR="0046517F">
        <w:rPr>
          <w:bCs/>
          <w:color w:val="000000"/>
          <w:szCs w:val="24"/>
        </w:rPr>
        <w:t>that</w:t>
      </w:r>
      <w:r w:rsidR="002634D8">
        <w:rPr>
          <w:bCs/>
          <w:color w:val="000000"/>
          <w:szCs w:val="24"/>
        </w:rPr>
        <w:t xml:space="preserve"> </w:t>
      </w:r>
      <w:r w:rsidR="008B5331">
        <w:rPr>
          <w:bCs/>
          <w:color w:val="000000"/>
          <w:szCs w:val="24"/>
        </w:rPr>
        <w:t>15</w:t>
      </w:r>
      <w:r w:rsidR="002634D8">
        <w:rPr>
          <w:bCs/>
          <w:color w:val="000000"/>
          <w:szCs w:val="24"/>
        </w:rPr>
        <w:t xml:space="preserve">% </w:t>
      </w:r>
      <w:r w:rsidR="0046517F">
        <w:rPr>
          <w:bCs/>
          <w:color w:val="000000"/>
          <w:szCs w:val="24"/>
        </w:rPr>
        <w:t xml:space="preserve">of </w:t>
      </w:r>
      <w:r w:rsidR="002634D8">
        <w:rPr>
          <w:bCs/>
          <w:color w:val="000000"/>
          <w:szCs w:val="24"/>
        </w:rPr>
        <w:t xml:space="preserve">the total wind energy installed in Texas </w:t>
      </w:r>
      <w:r w:rsidR="002E4079">
        <w:rPr>
          <w:bCs/>
          <w:color w:val="000000"/>
          <w:szCs w:val="24"/>
        </w:rPr>
        <w:t xml:space="preserve">is </w:t>
      </w:r>
      <w:r w:rsidR="0046517F">
        <w:rPr>
          <w:bCs/>
          <w:color w:val="000000"/>
          <w:szCs w:val="24"/>
        </w:rPr>
        <w:t>also</w:t>
      </w:r>
      <w:r w:rsidR="002634D8">
        <w:rPr>
          <w:bCs/>
          <w:color w:val="000000"/>
          <w:szCs w:val="24"/>
        </w:rPr>
        <w:t xml:space="preserve"> installed in neighbor</w:t>
      </w:r>
      <w:r w:rsidR="0046517F">
        <w:rPr>
          <w:bCs/>
          <w:color w:val="000000"/>
          <w:szCs w:val="24"/>
        </w:rPr>
        <w:t>ing</w:t>
      </w:r>
      <w:r w:rsidR="002634D8">
        <w:rPr>
          <w:bCs/>
          <w:color w:val="000000"/>
          <w:szCs w:val="24"/>
        </w:rPr>
        <w:t xml:space="preserve"> states (</w:t>
      </w:r>
      <w:r w:rsidR="00A23A0A">
        <w:rPr>
          <w:bCs/>
          <w:color w:val="000000"/>
          <w:szCs w:val="24"/>
        </w:rPr>
        <w:t xml:space="preserve">New Mexico, Oklahoma, </w:t>
      </w:r>
      <w:r w:rsidR="008B05A9">
        <w:rPr>
          <w:bCs/>
          <w:color w:val="000000"/>
          <w:szCs w:val="24"/>
        </w:rPr>
        <w:t>Arkansas</w:t>
      </w:r>
      <w:r w:rsidR="0046517F">
        <w:rPr>
          <w:bCs/>
          <w:color w:val="000000"/>
          <w:szCs w:val="24"/>
        </w:rPr>
        <w:t>,</w:t>
      </w:r>
      <w:r w:rsidR="00A23A0A">
        <w:rPr>
          <w:bCs/>
          <w:color w:val="000000"/>
          <w:szCs w:val="24"/>
        </w:rPr>
        <w:t xml:space="preserve"> and Louisiana</w:t>
      </w:r>
      <w:r w:rsidR="002634D8">
        <w:rPr>
          <w:bCs/>
          <w:color w:val="000000"/>
          <w:szCs w:val="24"/>
        </w:rPr>
        <w:t xml:space="preserve">) and </w:t>
      </w:r>
      <w:r w:rsidR="0046517F">
        <w:rPr>
          <w:bCs/>
          <w:color w:val="000000"/>
          <w:szCs w:val="24"/>
        </w:rPr>
        <w:t xml:space="preserve">the related </w:t>
      </w:r>
      <w:r w:rsidR="002634D8">
        <w:rPr>
          <w:bCs/>
          <w:color w:val="000000"/>
          <w:szCs w:val="24"/>
        </w:rPr>
        <w:t xml:space="preserve">components </w:t>
      </w:r>
      <w:r w:rsidR="002E4079">
        <w:rPr>
          <w:bCs/>
          <w:color w:val="000000"/>
          <w:szCs w:val="24"/>
        </w:rPr>
        <w:t>are</w:t>
      </w:r>
      <w:r w:rsidR="002634D8">
        <w:rPr>
          <w:bCs/>
          <w:color w:val="000000"/>
          <w:szCs w:val="24"/>
        </w:rPr>
        <w:t xml:space="preserve"> transported across Texas roads.</w:t>
      </w:r>
      <w:r w:rsidR="00A14DD1">
        <w:rPr>
          <w:rStyle w:val="FootnoteReference"/>
          <w:bCs/>
          <w:color w:val="000000"/>
          <w:szCs w:val="24"/>
        </w:rPr>
        <w:footnoteReference w:id="5"/>
      </w:r>
      <w:r w:rsidR="00A14DD1">
        <w:rPr>
          <w:bCs/>
          <w:color w:val="000000"/>
          <w:szCs w:val="24"/>
        </w:rPr>
        <w:t xml:space="preserve"> </w:t>
      </w:r>
    </w:p>
    <w:p w14:paraId="4CC4B7E8" w14:textId="77777777" w:rsidR="002634D8" w:rsidRDefault="002634D8" w:rsidP="0067454F">
      <w:pPr>
        <w:numPr>
          <w:ilvl w:val="0"/>
          <w:numId w:val="16"/>
        </w:numPr>
        <w:jc w:val="both"/>
        <w:rPr>
          <w:bCs/>
          <w:color w:val="000000"/>
          <w:szCs w:val="24"/>
        </w:rPr>
      </w:pPr>
      <w:r>
        <w:rPr>
          <w:bCs/>
          <w:color w:val="000000"/>
          <w:szCs w:val="24"/>
        </w:rPr>
        <w:t xml:space="preserve">The shipping points </w:t>
      </w:r>
      <w:r w:rsidR="000E38F8">
        <w:rPr>
          <w:bCs/>
          <w:color w:val="000000"/>
          <w:szCs w:val="24"/>
        </w:rPr>
        <w:t xml:space="preserve">(route origins) and their respective share (percentage of the total turbines that come from </w:t>
      </w:r>
      <w:r w:rsidR="0046517F">
        <w:rPr>
          <w:bCs/>
          <w:color w:val="000000"/>
          <w:szCs w:val="24"/>
        </w:rPr>
        <w:t xml:space="preserve">that </w:t>
      </w:r>
      <w:r w:rsidR="000E38F8">
        <w:rPr>
          <w:bCs/>
          <w:color w:val="000000"/>
          <w:szCs w:val="24"/>
        </w:rPr>
        <w:t>origin</w:t>
      </w:r>
      <w:r w:rsidR="006512B0">
        <w:rPr>
          <w:bCs/>
          <w:color w:val="000000"/>
          <w:szCs w:val="24"/>
        </w:rPr>
        <w:t xml:space="preserve"> po</w:t>
      </w:r>
      <w:r w:rsidR="0046517F">
        <w:rPr>
          <w:bCs/>
          <w:color w:val="000000"/>
          <w:szCs w:val="24"/>
        </w:rPr>
        <w:t>i</w:t>
      </w:r>
      <w:r w:rsidR="006512B0">
        <w:rPr>
          <w:bCs/>
          <w:color w:val="000000"/>
          <w:szCs w:val="24"/>
        </w:rPr>
        <w:t>n</w:t>
      </w:r>
      <w:r w:rsidR="0046517F">
        <w:rPr>
          <w:bCs/>
          <w:color w:val="000000"/>
          <w:szCs w:val="24"/>
        </w:rPr>
        <w:t>t</w:t>
      </w:r>
      <w:r w:rsidR="000E38F8">
        <w:rPr>
          <w:bCs/>
          <w:color w:val="000000"/>
          <w:szCs w:val="24"/>
        </w:rPr>
        <w:t>) are</w:t>
      </w:r>
      <w:r>
        <w:rPr>
          <w:bCs/>
          <w:color w:val="000000"/>
          <w:szCs w:val="24"/>
        </w:rPr>
        <w:t>:</w:t>
      </w:r>
      <w:r w:rsidR="00A14DD1" w:rsidRPr="00A14DD1">
        <w:rPr>
          <w:bCs/>
          <w:color w:val="000000"/>
          <w:szCs w:val="24"/>
          <w:vertAlign w:val="superscript"/>
        </w:rPr>
        <w:t>5</w:t>
      </w:r>
    </w:p>
    <w:p w14:paraId="31D00CAF" w14:textId="77777777" w:rsidR="000E38F8" w:rsidRDefault="000E38F8" w:rsidP="0067454F">
      <w:pPr>
        <w:numPr>
          <w:ilvl w:val="1"/>
          <w:numId w:val="16"/>
        </w:numPr>
        <w:jc w:val="both"/>
        <w:rPr>
          <w:bCs/>
          <w:color w:val="000000"/>
          <w:szCs w:val="24"/>
        </w:rPr>
      </w:pPr>
      <w:r>
        <w:rPr>
          <w:bCs/>
          <w:color w:val="000000"/>
          <w:szCs w:val="24"/>
        </w:rPr>
        <w:t>Out of state:</w:t>
      </w:r>
      <w:r w:rsidR="00866F1C">
        <w:rPr>
          <w:bCs/>
          <w:color w:val="000000"/>
          <w:szCs w:val="24"/>
        </w:rPr>
        <w:t xml:space="preserve"> Arkansas (1.9%), Louisiana (5.6</w:t>
      </w:r>
      <w:r>
        <w:rPr>
          <w:bCs/>
          <w:color w:val="000000"/>
          <w:szCs w:val="24"/>
        </w:rPr>
        <w:t>%), New Mexico (</w:t>
      </w:r>
      <w:r w:rsidR="00866F1C">
        <w:rPr>
          <w:bCs/>
          <w:color w:val="000000"/>
          <w:szCs w:val="24"/>
        </w:rPr>
        <w:t>13.0</w:t>
      </w:r>
      <w:r>
        <w:rPr>
          <w:bCs/>
          <w:color w:val="000000"/>
          <w:szCs w:val="24"/>
        </w:rPr>
        <w:t>%), and Oklahoma (</w:t>
      </w:r>
      <w:r w:rsidR="00866F1C">
        <w:rPr>
          <w:bCs/>
          <w:color w:val="000000"/>
          <w:szCs w:val="24"/>
        </w:rPr>
        <w:t>10.1</w:t>
      </w:r>
      <w:r>
        <w:rPr>
          <w:bCs/>
          <w:color w:val="000000"/>
          <w:szCs w:val="24"/>
        </w:rPr>
        <w:t>%).</w:t>
      </w:r>
    </w:p>
    <w:p w14:paraId="15836168" w14:textId="77777777" w:rsidR="000E38F8" w:rsidRDefault="000E38F8" w:rsidP="0067454F">
      <w:pPr>
        <w:numPr>
          <w:ilvl w:val="1"/>
          <w:numId w:val="16"/>
        </w:numPr>
        <w:jc w:val="both"/>
        <w:rPr>
          <w:bCs/>
          <w:color w:val="000000"/>
          <w:szCs w:val="24"/>
        </w:rPr>
      </w:pPr>
      <w:r>
        <w:rPr>
          <w:bCs/>
          <w:color w:val="000000"/>
          <w:szCs w:val="24"/>
        </w:rPr>
        <w:t xml:space="preserve">Ports: </w:t>
      </w:r>
      <w:r w:rsidR="00866F1C">
        <w:rPr>
          <w:bCs/>
          <w:color w:val="000000"/>
          <w:szCs w:val="24"/>
        </w:rPr>
        <w:t>Houston (16.6%), Galveston (4.8%), Corpus Christi (14.4%), Freeport (12.1%), and Beaumont (2.7%).</w:t>
      </w:r>
    </w:p>
    <w:p w14:paraId="6C3C7F5C" w14:textId="77777777" w:rsidR="0046517F" w:rsidRDefault="00866F1C" w:rsidP="0067454F">
      <w:pPr>
        <w:numPr>
          <w:ilvl w:val="1"/>
          <w:numId w:val="16"/>
        </w:numPr>
        <w:jc w:val="both"/>
      </w:pPr>
      <w:r>
        <w:rPr>
          <w:bCs/>
          <w:color w:val="000000"/>
          <w:szCs w:val="24"/>
        </w:rPr>
        <w:t>In-state production: Coleman (14.4%) and Fort Worth (4.4%).</w:t>
      </w:r>
    </w:p>
    <w:p w14:paraId="67EEEF8B" w14:textId="5819558D" w:rsidR="002740C9" w:rsidRPr="0094492D" w:rsidRDefault="002740C9" w:rsidP="002C72A5">
      <w:pPr>
        <w:ind w:firstLine="720"/>
        <w:jc w:val="both"/>
        <w:rPr>
          <w:highlight w:val="yellow"/>
        </w:rPr>
      </w:pPr>
      <w:r w:rsidRPr="002740C9">
        <w:t xml:space="preserve">The total area of Texas was sub-divided into </w:t>
      </w:r>
      <w:r w:rsidR="006157CE" w:rsidRPr="002740C9">
        <w:t>1</w:t>
      </w:r>
      <w:r w:rsidR="006157CE">
        <w:t>9</w:t>
      </w:r>
      <w:r w:rsidR="006157CE" w:rsidRPr="002740C9">
        <w:t xml:space="preserve"> </w:t>
      </w:r>
      <w:r w:rsidRPr="002740C9">
        <w:t>smaller zones based on possible trip origins (</w:t>
      </w:r>
      <w:r w:rsidR="00E01E37">
        <w:t>p</w:t>
      </w:r>
      <w:r w:rsidR="00E01E37" w:rsidRPr="002740C9">
        <w:t xml:space="preserve">orts </w:t>
      </w:r>
      <w:r w:rsidRPr="002740C9">
        <w:t xml:space="preserve">of entry, equipment manufacturers, etc.) and possible trip destinations (based on current installations and our predictions). All </w:t>
      </w:r>
      <w:r w:rsidR="004A557A">
        <w:t xml:space="preserve">of these </w:t>
      </w:r>
      <w:r w:rsidRPr="002740C9">
        <w:t xml:space="preserve">zones </w:t>
      </w:r>
      <w:r w:rsidR="004A557A">
        <w:t xml:space="preserve">may be mapped in a figure at </w:t>
      </w:r>
      <w:hyperlink r:id="rId20" w:history="1">
        <w:r w:rsidR="002C72A5" w:rsidRPr="001D64F7">
          <w:rPr>
            <w:rStyle w:val="Hyperlink"/>
          </w:rPr>
          <w:t>https://drive.google.com/open?id=0B6qUEbsZcZ-IMk9KRkMzWTN0V2M</w:t>
        </w:r>
      </w:hyperlink>
      <w:r w:rsidRPr="002740C9">
        <w:t>. The Panhandle region, a current wind energy hub, was divided into three parts</w:t>
      </w:r>
      <w:r w:rsidR="007775D6">
        <w:t>:</w:t>
      </w:r>
      <w:r w:rsidRPr="002740C9">
        <w:t xml:space="preserve"> Upper, Middle</w:t>
      </w:r>
      <w:r w:rsidR="007775D6">
        <w:t>,</w:t>
      </w:r>
      <w:r w:rsidRPr="002740C9">
        <w:t xml:space="preserve"> and Lower. The remainder of </w:t>
      </w:r>
      <w:r w:rsidR="007775D6" w:rsidRPr="002740C9">
        <w:t xml:space="preserve">West </w:t>
      </w:r>
      <w:r w:rsidRPr="002740C9">
        <w:t xml:space="preserve">Texas was divided into </w:t>
      </w:r>
      <w:r w:rsidR="007775D6">
        <w:t>four</w:t>
      </w:r>
      <w:r w:rsidR="007775D6" w:rsidRPr="002740C9">
        <w:t xml:space="preserve"> </w:t>
      </w:r>
      <w:r w:rsidRPr="002740C9">
        <w:t>regions</w:t>
      </w:r>
      <w:r w:rsidR="007775D6">
        <w:t>:</w:t>
      </w:r>
      <w:r w:rsidR="007775D6" w:rsidRPr="002740C9">
        <w:t xml:space="preserve"> </w:t>
      </w:r>
      <w:r w:rsidRPr="002740C9">
        <w:t>El Paso, Big Bend, Odessa/San Angelo</w:t>
      </w:r>
      <w:r w:rsidR="007775D6">
        <w:t>,</w:t>
      </w:r>
      <w:r w:rsidRPr="002740C9">
        <w:t xml:space="preserve"> and </w:t>
      </w:r>
      <w:r w:rsidR="007775D6">
        <w:t>the</w:t>
      </w:r>
      <w:r w:rsidRPr="002740C9">
        <w:t xml:space="preserve"> Southern/Central Texas region. </w:t>
      </w:r>
      <w:r w:rsidR="007775D6">
        <w:t>Other</w:t>
      </w:r>
      <w:r w:rsidRPr="002740C9">
        <w:t xml:space="preserve"> regions with </w:t>
      </w:r>
      <w:r w:rsidR="007775D6">
        <w:t>siz</w:t>
      </w:r>
      <w:r w:rsidR="007775D6" w:rsidRPr="002740C9">
        <w:t xml:space="preserve">eable </w:t>
      </w:r>
      <w:r w:rsidRPr="002740C9">
        <w:t xml:space="preserve">cities are the Wichita Falls area (to the northwest of Dallas-Ft. Worth), the </w:t>
      </w:r>
      <w:r w:rsidR="00192386" w:rsidRPr="002740C9">
        <w:t>Abilene</w:t>
      </w:r>
      <w:r w:rsidRPr="002740C9">
        <w:t>-F</w:t>
      </w:r>
      <w:r w:rsidR="00E16C80">
        <w:t xml:space="preserve">ort </w:t>
      </w:r>
      <w:r w:rsidRPr="002740C9">
        <w:t>Worth area, the Austin-San Antonio region, the Laredo region</w:t>
      </w:r>
      <w:r w:rsidR="007775D6">
        <w:t>,</w:t>
      </w:r>
      <w:r w:rsidRPr="002740C9">
        <w:t xml:space="preserve"> and the Brownsville/McAllen region. </w:t>
      </w:r>
      <w:r w:rsidR="007775D6">
        <w:t>South of these</w:t>
      </w:r>
      <w:r w:rsidRPr="002740C9">
        <w:t xml:space="preserve"> regions, we </w:t>
      </w:r>
      <w:r w:rsidR="00AE65F2">
        <w:t>can find</w:t>
      </w:r>
      <w:r w:rsidR="00AE65F2" w:rsidRPr="002740C9">
        <w:t xml:space="preserve"> </w:t>
      </w:r>
      <w:r w:rsidRPr="002740C9">
        <w:t xml:space="preserve">the Gulf </w:t>
      </w:r>
      <w:r w:rsidR="007775D6">
        <w:t>C</w:t>
      </w:r>
      <w:r w:rsidR="007775D6" w:rsidRPr="002740C9">
        <w:t xml:space="preserve">oast </w:t>
      </w:r>
      <w:r w:rsidRPr="002740C9">
        <w:t xml:space="preserve">region and the Corpus Christi region, the Houston region. To </w:t>
      </w:r>
      <w:r w:rsidR="006561D7">
        <w:t>summarize,</w:t>
      </w:r>
      <w:r w:rsidRPr="002740C9">
        <w:t xml:space="preserve"> we have </w:t>
      </w:r>
      <w:r w:rsidR="006561D7">
        <w:t>categorized</w:t>
      </w:r>
      <w:r w:rsidRPr="002740C9">
        <w:t xml:space="preserve"> the </w:t>
      </w:r>
      <w:r w:rsidR="007775D6">
        <w:t>E</w:t>
      </w:r>
      <w:r w:rsidRPr="002740C9">
        <w:t xml:space="preserve">ast Texas </w:t>
      </w:r>
      <w:r w:rsidR="007775D6" w:rsidRPr="002740C9">
        <w:t>region</w:t>
      </w:r>
      <w:r w:rsidR="007775D6">
        <w:t xml:space="preserve"> (north of</w:t>
      </w:r>
      <w:r w:rsidR="007775D6" w:rsidRPr="002740C9">
        <w:t xml:space="preserve"> </w:t>
      </w:r>
      <w:r w:rsidRPr="002740C9">
        <w:t>Houston</w:t>
      </w:r>
      <w:r w:rsidR="007775D6">
        <w:t>)</w:t>
      </w:r>
      <w:r w:rsidRPr="002740C9">
        <w:t xml:space="preserve"> into the Upper Northeast and Northeast region</w:t>
      </w:r>
      <w:r w:rsidR="007775D6">
        <w:t>s</w:t>
      </w:r>
      <w:r w:rsidRPr="002740C9">
        <w:t>.</w:t>
      </w:r>
      <w:r w:rsidR="003C7C71">
        <w:t xml:space="preserve"> Using our tool, we found the shortest path (in terms of our composite score) between each pair of zones and then we loaded on those paths the necessary trucks to satisfy the demand (</w:t>
      </w:r>
      <w:r w:rsidR="007775D6">
        <w:t xml:space="preserve">eight </w:t>
      </w:r>
      <w:r w:rsidR="003C7C71">
        <w:t xml:space="preserve">trucks per wind turbine). Finally, we studied in detail each zone to identify the end and beginning of each path, </w:t>
      </w:r>
      <w:r w:rsidR="003B4B6F">
        <w:t>paying particular</w:t>
      </w:r>
      <w:r w:rsidR="003C7C71">
        <w:t xml:space="preserve"> attention to shipping points and the nearby area of the potential wind farms. </w:t>
      </w:r>
      <w:r w:rsidR="00935650">
        <w:t xml:space="preserve">We repeat this process for every year from </w:t>
      </w:r>
      <w:r w:rsidR="002E4079">
        <w:t xml:space="preserve">2016 </w:t>
      </w:r>
      <w:r w:rsidR="00935650">
        <w:t xml:space="preserve">to 2025. </w:t>
      </w:r>
      <w:r w:rsidR="003C7C71">
        <w:t xml:space="preserve">The main routes of our plan are shown in </w:t>
      </w:r>
      <w:r w:rsidR="006E160E">
        <w:t xml:space="preserve">the </w:t>
      </w:r>
      <w:r w:rsidR="00FD7720">
        <w:t>left</w:t>
      </w:r>
      <w:r w:rsidR="0077417B">
        <w:t xml:space="preserve"> </w:t>
      </w:r>
      <w:r w:rsidR="006E160E">
        <w:t xml:space="preserve">panel of Figure </w:t>
      </w:r>
      <w:r w:rsidR="00A6008F">
        <w:t>1</w:t>
      </w:r>
      <w:r w:rsidR="003C7C71">
        <w:t>.</w:t>
      </w:r>
    </w:p>
    <w:p w14:paraId="5468A2C1" w14:textId="77777777" w:rsidR="00AC62A5" w:rsidRDefault="00AC62A5" w:rsidP="0067454F">
      <w:pPr>
        <w:autoSpaceDE w:val="0"/>
        <w:autoSpaceDN w:val="0"/>
        <w:adjustRightInd w:val="0"/>
        <w:jc w:val="both"/>
        <w:rPr>
          <w:szCs w:val="24"/>
        </w:rPr>
      </w:pPr>
    </w:p>
    <w:p w14:paraId="4D38983C" w14:textId="77777777" w:rsidR="00022A3E" w:rsidRPr="006F254A" w:rsidRDefault="00620F92" w:rsidP="0067454F">
      <w:pPr>
        <w:pStyle w:val="Heading2"/>
        <w:spacing w:line="240" w:lineRule="auto"/>
      </w:pPr>
      <w:r>
        <w:t>3</w:t>
      </w:r>
      <w:r w:rsidR="00022A3E">
        <w:t>.</w:t>
      </w:r>
      <w:r w:rsidR="00FE3312">
        <w:t>3</w:t>
      </w:r>
      <w:r w:rsidR="00A119B3">
        <w:t>.</w:t>
      </w:r>
      <w:r w:rsidR="00022A3E" w:rsidRPr="006F254A">
        <w:t xml:space="preserve"> </w:t>
      </w:r>
      <w:r w:rsidR="003C7C71">
        <w:t xml:space="preserve">What-if? </w:t>
      </w:r>
      <w:r w:rsidR="009F17CC">
        <w:t>Analysis</w:t>
      </w:r>
    </w:p>
    <w:p w14:paraId="0F3512A3" w14:textId="77777777" w:rsidR="004627E0" w:rsidRDefault="00F16C94" w:rsidP="0067454F">
      <w:pPr>
        <w:autoSpaceDE w:val="0"/>
        <w:autoSpaceDN w:val="0"/>
        <w:adjustRightInd w:val="0"/>
        <w:jc w:val="both"/>
        <w:rPr>
          <w:szCs w:val="24"/>
        </w:rPr>
      </w:pPr>
      <w:r>
        <w:t>As we mentioned earlier, o</w:t>
      </w:r>
      <w:r w:rsidR="00935650">
        <w:t xml:space="preserve">ur </w:t>
      </w:r>
      <w:r>
        <w:t xml:space="preserve">methodology and associated </w:t>
      </w:r>
      <w:r w:rsidR="00935650">
        <w:t xml:space="preserve">tool can be used to propose changes in the Texas roads infrastructure and </w:t>
      </w:r>
      <w:r w:rsidR="00B368DC">
        <w:t xml:space="preserve">to </w:t>
      </w:r>
      <w:r w:rsidR="00935650">
        <w:t xml:space="preserve">study in detail potential new trends in the wind energy industry. </w:t>
      </w:r>
      <w:r w:rsidR="00B368DC">
        <w:t>For</w:t>
      </w:r>
      <w:r w:rsidR="00935650">
        <w:t xml:space="preserve"> example, we </w:t>
      </w:r>
      <w:r w:rsidR="00B368DC">
        <w:t xml:space="preserve">replicated </w:t>
      </w:r>
      <w:r w:rsidR="00935650">
        <w:t xml:space="preserve">the </w:t>
      </w:r>
      <w:r w:rsidR="00B368DC">
        <w:t xml:space="preserve">prediction </w:t>
      </w:r>
      <w:r w:rsidR="00935650">
        <w:t xml:space="preserve">process described in Section </w:t>
      </w:r>
      <w:r w:rsidR="006157CE">
        <w:t>3</w:t>
      </w:r>
      <w:r w:rsidR="00935650">
        <w:t xml:space="preserve">.2 </w:t>
      </w:r>
      <w:r w:rsidR="00B368DC">
        <w:t xml:space="preserve">to create </w:t>
      </w:r>
      <w:r w:rsidR="002713D3">
        <w:t xml:space="preserve">a </w:t>
      </w:r>
      <w:r w:rsidR="00B368DC">
        <w:t>scenario</w:t>
      </w:r>
      <w:r w:rsidR="002713D3">
        <w:t xml:space="preserve"> in which </w:t>
      </w:r>
      <w:r w:rsidR="00935650">
        <w:t>three critical points</w:t>
      </w:r>
      <w:r w:rsidR="004745E4">
        <w:t xml:space="preserve"> (see Section 1.2)</w:t>
      </w:r>
      <w:r w:rsidR="00935650">
        <w:t xml:space="preserve"> are “relaxed” (we changed the vertical clearance of three specific bridges from 1</w:t>
      </w:r>
      <w:r w:rsidR="00734BB3">
        <w:t>6</w:t>
      </w:r>
      <w:r w:rsidR="00935650">
        <w:t xml:space="preserve"> feet to 1</w:t>
      </w:r>
      <w:r w:rsidR="00734BB3">
        <w:t>7</w:t>
      </w:r>
      <w:r w:rsidR="00935650">
        <w:t xml:space="preserve"> feet). </w:t>
      </w:r>
      <w:r w:rsidR="00935650">
        <w:rPr>
          <w:szCs w:val="24"/>
        </w:rPr>
        <w:t xml:space="preserve">The </w:t>
      </w:r>
      <w:r w:rsidR="002713D3">
        <w:rPr>
          <w:szCs w:val="24"/>
        </w:rPr>
        <w:t xml:space="preserve">original route plan is presented in </w:t>
      </w:r>
      <w:r w:rsidR="002713D3">
        <w:rPr>
          <w:szCs w:val="24"/>
        </w:rPr>
        <w:lastRenderedPageBreak/>
        <w:t xml:space="preserve">the left panel of Figure </w:t>
      </w:r>
      <w:r w:rsidR="004A557A">
        <w:rPr>
          <w:szCs w:val="24"/>
        </w:rPr>
        <w:t>1</w:t>
      </w:r>
      <w:r w:rsidR="002713D3">
        <w:rPr>
          <w:szCs w:val="24"/>
        </w:rPr>
        <w:t xml:space="preserve">, while the </w:t>
      </w:r>
      <w:r w:rsidR="00935650">
        <w:rPr>
          <w:szCs w:val="24"/>
        </w:rPr>
        <w:t xml:space="preserve">new route plan is presented in </w:t>
      </w:r>
      <w:r w:rsidR="006E160E">
        <w:rPr>
          <w:szCs w:val="24"/>
        </w:rPr>
        <w:t xml:space="preserve">the </w:t>
      </w:r>
      <w:r w:rsidR="002713D3">
        <w:rPr>
          <w:szCs w:val="24"/>
        </w:rPr>
        <w:t xml:space="preserve">right </w:t>
      </w:r>
      <w:r w:rsidR="006E160E">
        <w:rPr>
          <w:szCs w:val="24"/>
        </w:rPr>
        <w:t xml:space="preserve">panel of Figure </w:t>
      </w:r>
      <w:r w:rsidR="004A557A">
        <w:rPr>
          <w:szCs w:val="24"/>
        </w:rPr>
        <w:t>1</w:t>
      </w:r>
      <w:r w:rsidR="0077417B">
        <w:rPr>
          <w:szCs w:val="24"/>
        </w:rPr>
        <w:t xml:space="preserve"> </w:t>
      </w:r>
      <w:r w:rsidR="002713D3">
        <w:rPr>
          <w:szCs w:val="24"/>
        </w:rPr>
        <w:t>(</w:t>
      </w:r>
      <w:r w:rsidR="00935650">
        <w:rPr>
          <w:szCs w:val="24"/>
        </w:rPr>
        <w:t>along with the location of the three bridges</w:t>
      </w:r>
      <w:r w:rsidR="002713D3">
        <w:rPr>
          <w:szCs w:val="24"/>
        </w:rPr>
        <w:t xml:space="preserve">, which are identified by </w:t>
      </w:r>
      <w:r w:rsidR="006E160E">
        <w:rPr>
          <w:szCs w:val="24"/>
        </w:rPr>
        <w:t>stars in the</w:t>
      </w:r>
      <w:r w:rsidR="002713D3">
        <w:rPr>
          <w:szCs w:val="24"/>
        </w:rPr>
        <w:t xml:space="preserve"> figure)</w:t>
      </w:r>
      <w:r w:rsidR="00935650">
        <w:rPr>
          <w:szCs w:val="24"/>
        </w:rPr>
        <w:t>.</w:t>
      </w:r>
      <w:r w:rsidR="002713D3">
        <w:rPr>
          <w:szCs w:val="24"/>
        </w:rPr>
        <w:t xml:space="preserve"> Th</w:t>
      </w:r>
      <w:r w:rsidR="00E039C8">
        <w:rPr>
          <w:szCs w:val="24"/>
        </w:rPr>
        <w:t xml:space="preserve">e main routes are very similar </w:t>
      </w:r>
      <w:r w:rsidR="002713D3">
        <w:rPr>
          <w:szCs w:val="24"/>
        </w:rPr>
        <w:t>in the base and new scenario cases</w:t>
      </w:r>
      <w:r w:rsidR="00E039C8">
        <w:rPr>
          <w:szCs w:val="24"/>
        </w:rPr>
        <w:t xml:space="preserve">, except for those </w:t>
      </w:r>
      <w:r w:rsidR="00AD1595">
        <w:rPr>
          <w:szCs w:val="24"/>
        </w:rPr>
        <w:t>that</w:t>
      </w:r>
      <w:r w:rsidR="00E039C8">
        <w:rPr>
          <w:szCs w:val="24"/>
        </w:rPr>
        <w:t xml:space="preserve"> end in the Texas Panhandle.</w:t>
      </w:r>
      <w:r w:rsidR="00791ECF">
        <w:rPr>
          <w:szCs w:val="24"/>
        </w:rPr>
        <w:t xml:space="preserve"> The relaxation of the vertical clearance of the first bridge modifies the blue path south of Amarillo, while the relaxation of the second bridge vertical clearance modifies</w:t>
      </w:r>
      <w:r w:rsidR="0048200A">
        <w:rPr>
          <w:szCs w:val="24"/>
        </w:rPr>
        <w:t xml:space="preserve"> the blue path, as well as the purple path, close to Abilene</w:t>
      </w:r>
      <w:r w:rsidR="00791ECF">
        <w:rPr>
          <w:szCs w:val="24"/>
        </w:rPr>
        <w:t>.</w:t>
      </w:r>
      <w:r w:rsidR="0048200A">
        <w:rPr>
          <w:szCs w:val="24"/>
        </w:rPr>
        <w:t xml:space="preserve"> Additionally, the relaxation</w:t>
      </w:r>
      <w:r w:rsidR="00F44923">
        <w:rPr>
          <w:szCs w:val="24"/>
        </w:rPr>
        <w:t xml:space="preserve"> of the third bridge</w:t>
      </w:r>
      <w:r w:rsidR="0048200A">
        <w:rPr>
          <w:szCs w:val="24"/>
        </w:rPr>
        <w:t xml:space="preserve"> modifies the blue path toward the west of Texas and the orange path that ends close to </w:t>
      </w:r>
      <w:proofErr w:type="spellStart"/>
      <w:r w:rsidR="0048200A">
        <w:rPr>
          <w:szCs w:val="24"/>
        </w:rPr>
        <w:t>Acuña</w:t>
      </w:r>
      <w:proofErr w:type="spellEnd"/>
      <w:r w:rsidR="0048200A">
        <w:rPr>
          <w:szCs w:val="24"/>
        </w:rPr>
        <w:t xml:space="preserve">. </w:t>
      </w:r>
      <w:r w:rsidR="00E039C8">
        <w:rPr>
          <w:szCs w:val="24"/>
        </w:rPr>
        <w:t xml:space="preserve">The total composite score is </w:t>
      </w:r>
      <w:r w:rsidR="004745E4">
        <w:rPr>
          <w:szCs w:val="24"/>
        </w:rPr>
        <w:t>23</w:t>
      </w:r>
      <w:r w:rsidR="00E039C8">
        <w:rPr>
          <w:szCs w:val="24"/>
        </w:rPr>
        <w:t xml:space="preserve">% </w:t>
      </w:r>
      <w:r w:rsidR="00475DAE">
        <w:rPr>
          <w:szCs w:val="24"/>
        </w:rPr>
        <w:t xml:space="preserve">lower </w:t>
      </w:r>
      <w:r w:rsidR="00E039C8">
        <w:rPr>
          <w:szCs w:val="24"/>
        </w:rPr>
        <w:t>than the total composite score of the base scenario, indicating that a</w:t>
      </w:r>
      <w:r w:rsidR="00E16C80">
        <w:rPr>
          <w:szCs w:val="24"/>
        </w:rPr>
        <w:t xml:space="preserve">n investment </w:t>
      </w:r>
      <w:r w:rsidR="00475DAE">
        <w:rPr>
          <w:szCs w:val="24"/>
        </w:rPr>
        <w:t xml:space="preserve">in </w:t>
      </w:r>
      <w:r w:rsidR="00E16C80">
        <w:rPr>
          <w:szCs w:val="24"/>
        </w:rPr>
        <w:t>upgrad</w:t>
      </w:r>
      <w:r w:rsidR="00475DAE">
        <w:rPr>
          <w:szCs w:val="24"/>
        </w:rPr>
        <w:t>ing</w:t>
      </w:r>
      <w:r w:rsidR="00E16C80">
        <w:rPr>
          <w:szCs w:val="24"/>
        </w:rPr>
        <w:t xml:space="preserve"> those three bridges can lead to a significant saving in terms of distance traveled, number of turns, and pavement damage</w:t>
      </w:r>
      <w:r w:rsidR="00475DAE">
        <w:rPr>
          <w:szCs w:val="24"/>
        </w:rPr>
        <w:t>—</w:t>
      </w:r>
      <w:r w:rsidR="00E16C80">
        <w:rPr>
          <w:szCs w:val="24"/>
        </w:rPr>
        <w:t xml:space="preserve">three key elements that all the stakeholders involved (manufacturers, </w:t>
      </w:r>
      <w:r w:rsidR="00B368DC">
        <w:rPr>
          <w:szCs w:val="24"/>
        </w:rPr>
        <w:t>shippers</w:t>
      </w:r>
      <w:r w:rsidR="00E16C80">
        <w:rPr>
          <w:szCs w:val="24"/>
        </w:rPr>
        <w:t xml:space="preserve">, </w:t>
      </w:r>
      <w:r w:rsidR="004745E4">
        <w:rPr>
          <w:szCs w:val="24"/>
        </w:rPr>
        <w:t>public authorities</w:t>
      </w:r>
      <w:r w:rsidR="00E16C80">
        <w:rPr>
          <w:szCs w:val="24"/>
        </w:rPr>
        <w:t xml:space="preserve">, and </w:t>
      </w:r>
      <w:r w:rsidR="00B368DC">
        <w:rPr>
          <w:szCs w:val="24"/>
        </w:rPr>
        <w:t>the general public</w:t>
      </w:r>
      <w:r w:rsidR="00E16C80">
        <w:rPr>
          <w:szCs w:val="24"/>
        </w:rPr>
        <w:t>) would like to minimize.</w:t>
      </w:r>
      <w:r w:rsidR="00332277">
        <w:rPr>
          <w:szCs w:val="24"/>
        </w:rPr>
        <w:t xml:space="preserve"> </w:t>
      </w:r>
      <w:r w:rsidR="002713D3">
        <w:rPr>
          <w:szCs w:val="24"/>
        </w:rPr>
        <w:t xml:space="preserve">Many other scenarios may also be considered and evaluated using the tool developed. </w:t>
      </w:r>
    </w:p>
    <w:p w14:paraId="0218ACB8" w14:textId="77777777" w:rsidR="007601B2" w:rsidRDefault="007601B2" w:rsidP="0067454F">
      <w:pPr>
        <w:autoSpaceDE w:val="0"/>
        <w:autoSpaceDN w:val="0"/>
        <w:adjustRightInd w:val="0"/>
        <w:jc w:val="both"/>
        <w:rPr>
          <w:szCs w:val="24"/>
        </w:rPr>
      </w:pPr>
    </w:p>
    <w:p w14:paraId="07A6B67C" w14:textId="77777777" w:rsidR="00655EF4" w:rsidRPr="00D73B66" w:rsidRDefault="00620F92" w:rsidP="0067454F">
      <w:pPr>
        <w:pStyle w:val="Heading1"/>
        <w:spacing w:line="240" w:lineRule="auto"/>
      </w:pPr>
      <w:r>
        <w:rPr>
          <w:caps w:val="0"/>
        </w:rPr>
        <w:t>4</w:t>
      </w:r>
      <w:r w:rsidR="009F17CC" w:rsidRPr="00D73B66">
        <w:rPr>
          <w:caps w:val="0"/>
        </w:rPr>
        <w:t>. CONCLUSIONS</w:t>
      </w:r>
    </w:p>
    <w:p w14:paraId="21B369E6" w14:textId="77777777" w:rsidR="00440F23" w:rsidRPr="00440F23" w:rsidRDefault="00FD34B0" w:rsidP="0067454F">
      <w:pPr>
        <w:autoSpaceDE w:val="0"/>
        <w:autoSpaceDN w:val="0"/>
        <w:adjustRightInd w:val="0"/>
        <w:jc w:val="both"/>
        <w:rPr>
          <w:szCs w:val="24"/>
        </w:rPr>
      </w:pPr>
      <w:r>
        <w:rPr>
          <w:szCs w:val="24"/>
        </w:rPr>
        <w:t xml:space="preserve">Given its continued population and economic growth, </w:t>
      </w:r>
      <w:r w:rsidR="00941F40">
        <w:rPr>
          <w:szCs w:val="24"/>
        </w:rPr>
        <w:t>Texas</w:t>
      </w:r>
      <w:r w:rsidR="00941F40" w:rsidRPr="00440F23">
        <w:rPr>
          <w:szCs w:val="24"/>
        </w:rPr>
        <w:t xml:space="preserve"> </w:t>
      </w:r>
      <w:r w:rsidR="00440F23" w:rsidRPr="00440F23">
        <w:rPr>
          <w:szCs w:val="24"/>
        </w:rPr>
        <w:t xml:space="preserve">will </w:t>
      </w:r>
      <w:r w:rsidR="00941F40">
        <w:rPr>
          <w:szCs w:val="24"/>
        </w:rPr>
        <w:t>doubtless see</w:t>
      </w:r>
      <w:r w:rsidR="00941F40" w:rsidRPr="00440F23">
        <w:rPr>
          <w:szCs w:val="24"/>
        </w:rPr>
        <w:t xml:space="preserve"> </w:t>
      </w:r>
      <w:r w:rsidR="00440F23" w:rsidRPr="00440F23">
        <w:rPr>
          <w:szCs w:val="24"/>
        </w:rPr>
        <w:t>a significant increase in renewable energy production facilities. The construction of wind farms requires the transport of wind turbine components that create increased loads on rural roads and bridges</w:t>
      </w:r>
      <w:r w:rsidR="00941F40">
        <w:rPr>
          <w:szCs w:val="24"/>
        </w:rPr>
        <w:t>, which</w:t>
      </w:r>
      <w:r w:rsidR="00941F40" w:rsidRPr="00440F23">
        <w:rPr>
          <w:szCs w:val="24"/>
        </w:rPr>
        <w:t xml:space="preserve"> </w:t>
      </w:r>
      <w:r w:rsidR="00440F23" w:rsidRPr="00440F23">
        <w:rPr>
          <w:szCs w:val="24"/>
        </w:rPr>
        <w:t>are typically not designed for such loads</w:t>
      </w:r>
      <w:r>
        <w:rPr>
          <w:szCs w:val="24"/>
        </w:rPr>
        <w:t>, as well other incidental damage to transportation infrastructure throughout the stat</w:t>
      </w:r>
      <w:r w:rsidR="00CE005C">
        <w:rPr>
          <w:szCs w:val="24"/>
        </w:rPr>
        <w:t>e. Repairing and upgrading the roadway network</w:t>
      </w:r>
      <w:r>
        <w:rPr>
          <w:szCs w:val="24"/>
        </w:rPr>
        <w:t xml:space="preserve"> presents challenges for </w:t>
      </w:r>
      <w:proofErr w:type="spellStart"/>
      <w:r>
        <w:rPr>
          <w:szCs w:val="24"/>
        </w:rPr>
        <w:t>TxDOT</w:t>
      </w:r>
      <w:proofErr w:type="spellEnd"/>
      <w:r>
        <w:rPr>
          <w:szCs w:val="24"/>
        </w:rPr>
        <w:t xml:space="preserve">, which </w:t>
      </w:r>
      <w:r w:rsidR="00CE005C">
        <w:rPr>
          <w:szCs w:val="24"/>
        </w:rPr>
        <w:t xml:space="preserve">(like all DOTs) </w:t>
      </w:r>
      <w:r>
        <w:rPr>
          <w:szCs w:val="24"/>
        </w:rPr>
        <w:t>must operate under budget constraints.</w:t>
      </w:r>
    </w:p>
    <w:p w14:paraId="7AF26586" w14:textId="77777777" w:rsidR="00440F23" w:rsidRDefault="00FD34B0" w:rsidP="00696BB7">
      <w:pPr>
        <w:autoSpaceDE w:val="0"/>
        <w:autoSpaceDN w:val="0"/>
        <w:adjustRightInd w:val="0"/>
        <w:ind w:firstLine="720"/>
        <w:jc w:val="both"/>
        <w:rPr>
          <w:szCs w:val="24"/>
        </w:rPr>
      </w:pPr>
      <w:r>
        <w:rPr>
          <w:szCs w:val="24"/>
        </w:rPr>
        <w:t>In response to t</w:t>
      </w:r>
      <w:r w:rsidR="00440F23" w:rsidRPr="00440F23">
        <w:rPr>
          <w:szCs w:val="24"/>
        </w:rPr>
        <w:t xml:space="preserve">he upward trend in wind energy production, </w:t>
      </w:r>
      <w:r w:rsidR="00440F23">
        <w:rPr>
          <w:szCs w:val="24"/>
        </w:rPr>
        <w:t>this paper proposes a</w:t>
      </w:r>
      <w:r w:rsidR="00440F23" w:rsidRPr="00440F23">
        <w:rPr>
          <w:szCs w:val="24"/>
        </w:rPr>
        <w:t xml:space="preserve"> plan for </w:t>
      </w:r>
      <w:r w:rsidR="00941F40">
        <w:rPr>
          <w:szCs w:val="24"/>
        </w:rPr>
        <w:t xml:space="preserve">mitigating </w:t>
      </w:r>
      <w:r w:rsidR="00440F23" w:rsidRPr="00440F23">
        <w:rPr>
          <w:szCs w:val="24"/>
        </w:rPr>
        <w:t xml:space="preserve">the impacts of </w:t>
      </w:r>
      <w:r w:rsidR="00440F23">
        <w:rPr>
          <w:szCs w:val="24"/>
        </w:rPr>
        <w:t>wind energy</w:t>
      </w:r>
      <w:r w:rsidR="00440F23" w:rsidRPr="00440F23">
        <w:rPr>
          <w:szCs w:val="24"/>
        </w:rPr>
        <w:t xml:space="preserve"> projects on roads</w:t>
      </w:r>
      <w:r w:rsidR="006561D7">
        <w:rPr>
          <w:szCs w:val="24"/>
        </w:rPr>
        <w:t>,</w:t>
      </w:r>
      <w:r w:rsidR="00440F23" w:rsidRPr="00440F23">
        <w:rPr>
          <w:szCs w:val="24"/>
        </w:rPr>
        <w:t xml:space="preserve"> while facilitating the development of </w:t>
      </w:r>
      <w:r w:rsidR="00440F23">
        <w:rPr>
          <w:szCs w:val="24"/>
        </w:rPr>
        <w:t xml:space="preserve">these </w:t>
      </w:r>
      <w:r w:rsidR="00440F23" w:rsidRPr="00440F23">
        <w:rPr>
          <w:szCs w:val="24"/>
        </w:rPr>
        <w:t xml:space="preserve">projects in and around Texas. </w:t>
      </w:r>
      <w:r w:rsidR="00440F23">
        <w:rPr>
          <w:szCs w:val="24"/>
        </w:rPr>
        <w:t>We</w:t>
      </w:r>
      <w:r w:rsidR="00440F23" w:rsidRPr="00440F23">
        <w:rPr>
          <w:szCs w:val="24"/>
        </w:rPr>
        <w:t xml:space="preserve"> create</w:t>
      </w:r>
      <w:r w:rsidR="00440F23">
        <w:rPr>
          <w:szCs w:val="24"/>
        </w:rPr>
        <w:t>d</w:t>
      </w:r>
      <w:r w:rsidR="00440F23" w:rsidRPr="00440F23">
        <w:rPr>
          <w:szCs w:val="24"/>
        </w:rPr>
        <w:t xml:space="preserve"> a</w:t>
      </w:r>
      <w:r w:rsidR="00332277">
        <w:rPr>
          <w:szCs w:val="24"/>
        </w:rPr>
        <w:t xml:space="preserve"> methodology and an associated</w:t>
      </w:r>
      <w:r w:rsidR="00440F23" w:rsidRPr="00440F23">
        <w:rPr>
          <w:szCs w:val="24"/>
        </w:rPr>
        <w:t xml:space="preserve"> operational planning tool that can be used to propose </w:t>
      </w:r>
      <w:r w:rsidR="00E04EC1">
        <w:rPr>
          <w:szCs w:val="24"/>
        </w:rPr>
        <w:t xml:space="preserve">optimal </w:t>
      </w:r>
      <w:r w:rsidR="00440F23" w:rsidRPr="00440F23">
        <w:rPr>
          <w:szCs w:val="24"/>
        </w:rPr>
        <w:t xml:space="preserve">route plans for wind turbine components </w:t>
      </w:r>
      <w:r w:rsidR="006263CD">
        <w:rPr>
          <w:szCs w:val="24"/>
        </w:rPr>
        <w:t>transported on</w:t>
      </w:r>
      <w:r w:rsidR="00440F23" w:rsidRPr="00440F23">
        <w:rPr>
          <w:szCs w:val="24"/>
        </w:rPr>
        <w:t xml:space="preserve"> Texas routes and develop recommendations for planning construction of new wind farms as well as </w:t>
      </w:r>
      <w:r w:rsidR="006263CD">
        <w:rPr>
          <w:szCs w:val="24"/>
        </w:rPr>
        <w:t xml:space="preserve">generating </w:t>
      </w:r>
      <w:r w:rsidR="00440F23" w:rsidRPr="00440F23">
        <w:rPr>
          <w:szCs w:val="24"/>
        </w:rPr>
        <w:t>mainte</w:t>
      </w:r>
      <w:r w:rsidR="00440F23">
        <w:rPr>
          <w:szCs w:val="24"/>
        </w:rPr>
        <w:t>nance</w:t>
      </w:r>
      <w:r w:rsidR="006263CD">
        <w:rPr>
          <w:szCs w:val="24"/>
        </w:rPr>
        <w:t xml:space="preserve"> and upgrade</w:t>
      </w:r>
      <w:r w:rsidR="00440F23">
        <w:rPr>
          <w:szCs w:val="24"/>
        </w:rPr>
        <w:t xml:space="preserve"> strategies for the roads.</w:t>
      </w:r>
      <w:r w:rsidR="00935650">
        <w:rPr>
          <w:szCs w:val="24"/>
        </w:rPr>
        <w:t xml:space="preserve"> </w:t>
      </w:r>
    </w:p>
    <w:p w14:paraId="402DB37D" w14:textId="77777777" w:rsidR="00E039C8" w:rsidRDefault="00E039C8" w:rsidP="00696BB7">
      <w:pPr>
        <w:autoSpaceDE w:val="0"/>
        <w:autoSpaceDN w:val="0"/>
        <w:adjustRightInd w:val="0"/>
        <w:ind w:firstLine="720"/>
        <w:jc w:val="both"/>
      </w:pPr>
      <w:r>
        <w:rPr>
          <w:szCs w:val="24"/>
        </w:rPr>
        <w:t xml:space="preserve">We predicted the amount of energy installed in Texas from </w:t>
      </w:r>
      <w:r w:rsidR="00332277">
        <w:rPr>
          <w:szCs w:val="24"/>
        </w:rPr>
        <w:t xml:space="preserve">2016 </w:t>
      </w:r>
      <w:r>
        <w:rPr>
          <w:szCs w:val="24"/>
        </w:rPr>
        <w:t xml:space="preserve">to 2025 and we used that prediction, along with detailed knowledge of the wind energy industry, to create a plan for the routes. </w:t>
      </w:r>
      <w:r w:rsidRPr="00BE4A98">
        <w:t>The tool create</w:t>
      </w:r>
      <w:r>
        <w:t>s</w:t>
      </w:r>
      <w:r w:rsidRPr="00BE4A98">
        <w:t xml:space="preserve"> a route by optimizing the travel distance, number of turns, and potential pavement damage, while checking restrictions due to bridge clearances</w:t>
      </w:r>
      <w:r>
        <w:t xml:space="preserve">, postings, and pavement conditions. </w:t>
      </w:r>
      <w:r w:rsidR="00332277">
        <w:t>Our methodology and associated tool have the capability of</w:t>
      </w:r>
      <w:r w:rsidR="00332277" w:rsidRPr="00332277">
        <w:t xml:space="preserve"> performing “what-if” analysis.</w:t>
      </w:r>
      <w:r w:rsidR="00332277">
        <w:t xml:space="preserve"> </w:t>
      </w:r>
      <w:r>
        <w:t>The best routes are found for our base scenario</w:t>
      </w:r>
      <w:r w:rsidR="006263CD">
        <w:t>, which we</w:t>
      </w:r>
      <w:r>
        <w:t xml:space="preserve"> then compare</w:t>
      </w:r>
      <w:r w:rsidR="006263CD">
        <w:t>d</w:t>
      </w:r>
      <w:r>
        <w:t xml:space="preserve"> with </w:t>
      </w:r>
      <w:r w:rsidR="002713D3">
        <w:t xml:space="preserve">another </w:t>
      </w:r>
      <w:r>
        <w:t xml:space="preserve">possible scenario, </w:t>
      </w:r>
      <w:r w:rsidR="006263CD">
        <w:t xml:space="preserve">generating </w:t>
      </w:r>
      <w:r>
        <w:t>recommendations and analyzing possible trends in the wind energy production industry.</w:t>
      </w:r>
      <w:r w:rsidR="00DA20C1">
        <w:t xml:space="preserve"> </w:t>
      </w:r>
      <w:r w:rsidR="00332277">
        <w:t>Our methodology</w:t>
      </w:r>
      <w:r w:rsidR="00DA20C1">
        <w:t xml:space="preserve"> can be u</w:t>
      </w:r>
      <w:r w:rsidR="00F45182">
        <w:t xml:space="preserve">sed to test different changes on the Texas roads infrastructure and their effect on the transportation of wind turbine components. </w:t>
      </w:r>
      <w:r w:rsidR="00332277">
        <w:t>Our methodology</w:t>
      </w:r>
      <w:r w:rsidR="00F45182">
        <w:t xml:space="preserve"> can be</w:t>
      </w:r>
      <w:r w:rsidR="00332277">
        <w:t xml:space="preserve"> also</w:t>
      </w:r>
      <w:r w:rsidR="00F45182">
        <w:t xml:space="preserve"> used to test how the Texas transportation infrastructure could handle changes in the wind energy production industry, such as new technology turbines with new dimensions.</w:t>
      </w:r>
      <w:r w:rsidR="00332277">
        <w:t xml:space="preserve"> </w:t>
      </w:r>
      <w:r w:rsidR="00332277" w:rsidRPr="00332277">
        <w:t>The tool and the associated methodology can be generalized to any other state, after updating the underlying databases.</w:t>
      </w:r>
    </w:p>
    <w:p w14:paraId="344B9090" w14:textId="77777777" w:rsidR="00696BB7" w:rsidRDefault="00696BB7" w:rsidP="00696BB7">
      <w:pPr>
        <w:autoSpaceDE w:val="0"/>
        <w:autoSpaceDN w:val="0"/>
        <w:adjustRightInd w:val="0"/>
        <w:jc w:val="both"/>
      </w:pPr>
    </w:p>
    <w:p w14:paraId="51F5A919" w14:textId="77777777" w:rsidR="00696BB7" w:rsidRPr="00913048" w:rsidRDefault="00696BB7" w:rsidP="00696BB7">
      <w:pPr>
        <w:rPr>
          <w:b/>
          <w:caps/>
          <w:szCs w:val="24"/>
        </w:rPr>
      </w:pPr>
      <w:r w:rsidRPr="00913048">
        <w:rPr>
          <w:b/>
          <w:caps/>
          <w:szCs w:val="24"/>
        </w:rPr>
        <w:t>Acknowledgments</w:t>
      </w:r>
    </w:p>
    <w:p w14:paraId="5864F42E" w14:textId="3D995E51" w:rsidR="00696BB7" w:rsidRDefault="00696BB7" w:rsidP="00696BB7">
      <w:pPr>
        <w:autoSpaceDE w:val="0"/>
        <w:autoSpaceDN w:val="0"/>
        <w:adjustRightInd w:val="0"/>
        <w:jc w:val="both"/>
        <w:rPr>
          <w:szCs w:val="24"/>
        </w:rPr>
      </w:pPr>
      <w:r>
        <w:t>This research was funded by the Texas Department of Transportation Project 0-6850 entitled “Texas Transportation Planning for Future Renewable Energy Projects”. The authors are grateful to Lisa Macias for her h</w:t>
      </w:r>
      <w:r w:rsidR="004E0418">
        <w:t xml:space="preserve">elp in formatting this document, </w:t>
      </w:r>
      <w:r w:rsidR="004E0418" w:rsidRPr="00ED27FE">
        <w:rPr>
          <w:color w:val="000000"/>
          <w:szCs w:val="24"/>
        </w:rPr>
        <w:t xml:space="preserve">and to </w:t>
      </w:r>
      <w:r w:rsidR="004E0418">
        <w:rPr>
          <w:color w:val="000000"/>
          <w:szCs w:val="24"/>
        </w:rPr>
        <w:t xml:space="preserve">three </w:t>
      </w:r>
      <w:r w:rsidR="004E0418" w:rsidRPr="00ED27FE">
        <w:rPr>
          <w:color w:val="000000"/>
          <w:szCs w:val="24"/>
        </w:rPr>
        <w:t xml:space="preserve">anonymous </w:t>
      </w:r>
      <w:r w:rsidR="004E0418" w:rsidRPr="00CF0C5A">
        <w:rPr>
          <w:rFonts w:eastAsia="Times New Roman"/>
          <w:szCs w:val="24"/>
        </w:rPr>
        <w:t>referees who provided useful comments on an earlier version of the paper</w:t>
      </w:r>
      <w:r w:rsidR="004E0418" w:rsidRPr="00050A27">
        <w:rPr>
          <w:color w:val="000000"/>
        </w:rPr>
        <w:t>.</w:t>
      </w:r>
      <w:r w:rsidR="004E0418">
        <w:t xml:space="preserve">  </w:t>
      </w:r>
    </w:p>
    <w:p w14:paraId="33F86938" w14:textId="77777777" w:rsidR="00D83DE6" w:rsidRDefault="00906BC2" w:rsidP="0067454F">
      <w:pPr>
        <w:pStyle w:val="Heading1"/>
        <w:spacing w:after="120" w:line="240" w:lineRule="auto"/>
      </w:pPr>
      <w:r w:rsidRPr="00A769AD">
        <w:br w:type="page"/>
      </w:r>
      <w:r w:rsidR="00777638" w:rsidRPr="00A769AD">
        <w:lastRenderedPageBreak/>
        <w:t>REFERENCES</w:t>
      </w:r>
    </w:p>
    <w:p w14:paraId="1A3ABA72" w14:textId="77777777" w:rsidR="006C7AA9" w:rsidRDefault="006C7AA9" w:rsidP="006C7AA9">
      <w:pPr>
        <w:pStyle w:val="ListParagraph"/>
        <w:numPr>
          <w:ilvl w:val="0"/>
          <w:numId w:val="18"/>
        </w:numPr>
        <w:autoSpaceDE w:val="0"/>
        <w:autoSpaceDN w:val="0"/>
        <w:adjustRightInd w:val="0"/>
        <w:spacing w:after="120"/>
        <w:ind w:left="360"/>
        <w:contextualSpacing w:val="0"/>
        <w:jc w:val="both"/>
      </w:pPr>
      <w:r w:rsidRPr="003152E3">
        <w:t>American Wind Energy Association</w:t>
      </w:r>
      <w:r>
        <w:t>.</w:t>
      </w:r>
      <w:r w:rsidRPr="003152E3">
        <w:t> U.S. Wind Industry First Quarter 2014 Market Report</w:t>
      </w:r>
      <w:r>
        <w:t>, 2014</w:t>
      </w:r>
      <w:r w:rsidRPr="003152E3">
        <w:t xml:space="preserve">. Available at: </w:t>
      </w:r>
      <w:hyperlink r:id="rId21" w:history="1">
        <w:r w:rsidRPr="003152E3">
          <w:rPr>
            <w:rStyle w:val="Hyperlink"/>
          </w:rPr>
          <w:t>www.awea.org/1Q2014</w:t>
        </w:r>
      </w:hyperlink>
      <w:r w:rsidRPr="003152E3">
        <w:t>.</w:t>
      </w:r>
    </w:p>
    <w:p w14:paraId="5A0F76B0" w14:textId="77777777" w:rsidR="006C7AA9" w:rsidRDefault="006C7AA9" w:rsidP="006C7AA9">
      <w:pPr>
        <w:pStyle w:val="ListParagraph"/>
        <w:numPr>
          <w:ilvl w:val="0"/>
          <w:numId w:val="18"/>
        </w:numPr>
        <w:autoSpaceDE w:val="0"/>
        <w:autoSpaceDN w:val="0"/>
        <w:adjustRightInd w:val="0"/>
        <w:spacing w:after="120"/>
        <w:ind w:left="360"/>
        <w:contextualSpacing w:val="0"/>
        <w:jc w:val="both"/>
      </w:pPr>
      <w:r w:rsidRPr="003152E3">
        <w:t xml:space="preserve">Madrigal, M., and </w:t>
      </w:r>
      <w:r>
        <w:t xml:space="preserve">S. </w:t>
      </w:r>
      <w:proofErr w:type="spellStart"/>
      <w:r>
        <w:t>Stoft</w:t>
      </w:r>
      <w:proofErr w:type="spellEnd"/>
      <w:r>
        <w:t>.</w:t>
      </w:r>
      <w:r w:rsidRPr="003152E3">
        <w:t xml:space="preserve"> Transmission </w:t>
      </w:r>
      <w:r>
        <w:t>E</w:t>
      </w:r>
      <w:r w:rsidRPr="003152E3">
        <w:t xml:space="preserve">xpansion for </w:t>
      </w:r>
      <w:r>
        <w:t>R</w:t>
      </w:r>
      <w:r w:rsidRPr="003152E3">
        <w:t xml:space="preserve">enewable </w:t>
      </w:r>
      <w:r>
        <w:t>E</w:t>
      </w:r>
      <w:r w:rsidRPr="003152E3">
        <w:t xml:space="preserve">nergy </w:t>
      </w:r>
      <w:r>
        <w:t>S</w:t>
      </w:r>
      <w:r w:rsidRPr="003152E3">
        <w:t xml:space="preserve">cale-up: Emerging </w:t>
      </w:r>
      <w:r>
        <w:t>L</w:t>
      </w:r>
      <w:r w:rsidRPr="003152E3">
        <w:t xml:space="preserve">essons and </w:t>
      </w:r>
      <w:r>
        <w:t>R</w:t>
      </w:r>
      <w:r w:rsidRPr="003152E3">
        <w:t>ecommendations. World Bank Publications</w:t>
      </w:r>
      <w:r>
        <w:t>,</w:t>
      </w:r>
      <w:r w:rsidRPr="003152E3">
        <w:t xml:space="preserve"> 2012.</w:t>
      </w:r>
    </w:p>
    <w:p w14:paraId="1E491E86" w14:textId="77777777" w:rsidR="006C7AA9" w:rsidRDefault="006C7AA9" w:rsidP="006C7AA9">
      <w:pPr>
        <w:pStyle w:val="ListParagraph"/>
        <w:numPr>
          <w:ilvl w:val="0"/>
          <w:numId w:val="18"/>
        </w:numPr>
        <w:autoSpaceDE w:val="0"/>
        <w:autoSpaceDN w:val="0"/>
        <w:adjustRightInd w:val="0"/>
        <w:spacing w:after="120"/>
        <w:ind w:left="360"/>
        <w:contextualSpacing w:val="0"/>
        <w:jc w:val="both"/>
      </w:pPr>
      <w:r w:rsidRPr="003152E3">
        <w:t>State Energy Conservation Office</w:t>
      </w:r>
      <w:r>
        <w:t>.</w:t>
      </w:r>
      <w:r w:rsidRPr="003152E3">
        <w:t xml:space="preserve"> Texas </w:t>
      </w:r>
      <w:r>
        <w:t>R</w:t>
      </w:r>
      <w:r w:rsidRPr="003152E3">
        <w:t xml:space="preserve">enewable </w:t>
      </w:r>
      <w:r>
        <w:t>E</w:t>
      </w:r>
      <w:r w:rsidRPr="003152E3">
        <w:t xml:space="preserve">nergy </w:t>
      </w:r>
      <w:r>
        <w:t>R</w:t>
      </w:r>
      <w:r w:rsidRPr="003152E3">
        <w:t xml:space="preserve">esource </w:t>
      </w:r>
      <w:r>
        <w:t>A</w:t>
      </w:r>
      <w:r w:rsidRPr="003152E3">
        <w:t>ssessment</w:t>
      </w:r>
      <w:r>
        <w:t>, 2011</w:t>
      </w:r>
      <w:r w:rsidRPr="003152E3">
        <w:t xml:space="preserve">. Available at: </w:t>
      </w:r>
      <w:hyperlink r:id="rId22" w:history="1">
        <w:r w:rsidRPr="003152E3">
          <w:rPr>
            <w:rStyle w:val="Hyperlink"/>
          </w:rPr>
          <w:t>http://www.seco.cpa.state.tx.us/publications/renewenergy/</w:t>
        </w:r>
      </w:hyperlink>
      <w:r w:rsidRPr="003152E3">
        <w:t>.</w:t>
      </w:r>
    </w:p>
    <w:p w14:paraId="7624B353" w14:textId="77777777" w:rsidR="006C7AA9" w:rsidRDefault="006C7AA9" w:rsidP="006C7AA9">
      <w:pPr>
        <w:pStyle w:val="ListParagraph"/>
        <w:numPr>
          <w:ilvl w:val="0"/>
          <w:numId w:val="18"/>
        </w:numPr>
        <w:autoSpaceDE w:val="0"/>
        <w:autoSpaceDN w:val="0"/>
        <w:adjustRightInd w:val="0"/>
        <w:spacing w:after="120"/>
        <w:ind w:left="360"/>
        <w:contextualSpacing w:val="0"/>
        <w:jc w:val="both"/>
      </w:pPr>
      <w:proofErr w:type="spellStart"/>
      <w:r w:rsidRPr="003152E3">
        <w:t>Diffen</w:t>
      </w:r>
      <w:proofErr w:type="spellEnd"/>
      <w:r w:rsidRPr="003152E3">
        <w:t>, B.</w:t>
      </w:r>
      <w:r>
        <w:t xml:space="preserve"> </w:t>
      </w:r>
      <w:r w:rsidRPr="003152E3">
        <w:t xml:space="preserve">H. Competitive </w:t>
      </w:r>
      <w:r>
        <w:t>R</w:t>
      </w:r>
      <w:r w:rsidRPr="003152E3">
        <w:t xml:space="preserve">enewable </w:t>
      </w:r>
      <w:r>
        <w:t>E</w:t>
      </w:r>
      <w:r w:rsidRPr="003152E3">
        <w:t xml:space="preserve">nergy </w:t>
      </w:r>
      <w:r>
        <w:t>Z</w:t>
      </w:r>
      <w:r w:rsidRPr="003152E3">
        <w:t xml:space="preserve">ones: </w:t>
      </w:r>
      <w:r>
        <w:t>H</w:t>
      </w:r>
      <w:r w:rsidRPr="003152E3">
        <w:t xml:space="preserve">ow the Texas </w:t>
      </w:r>
      <w:r>
        <w:t>W</w:t>
      </w:r>
      <w:r w:rsidRPr="003152E3">
        <w:t xml:space="preserve">ind </w:t>
      </w:r>
      <w:r>
        <w:t>I</w:t>
      </w:r>
      <w:r w:rsidRPr="003152E3">
        <w:t xml:space="preserve">ndustry is </w:t>
      </w:r>
      <w:proofErr w:type="gramStart"/>
      <w:r>
        <w:t>C</w:t>
      </w:r>
      <w:r w:rsidRPr="003152E3">
        <w:t>racking</w:t>
      </w:r>
      <w:proofErr w:type="gramEnd"/>
      <w:r w:rsidRPr="003152E3">
        <w:t xml:space="preserve"> </w:t>
      </w:r>
      <w:r w:rsidRPr="00E264D8">
        <w:t xml:space="preserve">the </w:t>
      </w:r>
      <w:r>
        <w:t>C</w:t>
      </w:r>
      <w:r w:rsidRPr="00E264D8">
        <w:t xml:space="preserve">hicken &amp; </w:t>
      </w:r>
      <w:r>
        <w:t>Egg P</w:t>
      </w:r>
      <w:r w:rsidRPr="00E264D8">
        <w:t xml:space="preserve">roblem. </w:t>
      </w:r>
      <w:r w:rsidRPr="00E264D8">
        <w:rPr>
          <w:i/>
        </w:rPr>
        <w:t>Rocky Mountain Mineral Law Foundation Journal</w:t>
      </w:r>
      <w:r>
        <w:t>, Vol. 46, No. 1, 2009, pp. 47-98</w:t>
      </w:r>
      <w:r w:rsidRPr="00E264D8">
        <w:t>.</w:t>
      </w:r>
    </w:p>
    <w:p w14:paraId="79005D47" w14:textId="77777777" w:rsidR="006C7AA9" w:rsidRDefault="006C7AA9" w:rsidP="006C7AA9">
      <w:pPr>
        <w:pStyle w:val="ListParagraph"/>
        <w:numPr>
          <w:ilvl w:val="0"/>
          <w:numId w:val="18"/>
        </w:numPr>
        <w:autoSpaceDE w:val="0"/>
        <w:autoSpaceDN w:val="0"/>
        <w:adjustRightInd w:val="0"/>
        <w:spacing w:after="120"/>
        <w:ind w:left="360"/>
        <w:contextualSpacing w:val="0"/>
        <w:jc w:val="both"/>
      </w:pPr>
      <w:proofErr w:type="spellStart"/>
      <w:r w:rsidRPr="003152E3">
        <w:t>Kaldellis</w:t>
      </w:r>
      <w:proofErr w:type="spellEnd"/>
      <w:r w:rsidRPr="003152E3">
        <w:t xml:space="preserve">, J. K., and </w:t>
      </w:r>
      <w:r>
        <w:t xml:space="preserve">D. </w:t>
      </w:r>
      <w:proofErr w:type="spellStart"/>
      <w:r>
        <w:t>Zafirakis</w:t>
      </w:r>
      <w:proofErr w:type="spellEnd"/>
      <w:r w:rsidRPr="003152E3">
        <w:t xml:space="preserve">. </w:t>
      </w:r>
      <w:r>
        <w:t>The Wind Energy (R</w:t>
      </w:r>
      <w:proofErr w:type="gramStart"/>
      <w:r>
        <w:t>)e</w:t>
      </w:r>
      <w:r w:rsidRPr="003152E3">
        <w:t>volution</w:t>
      </w:r>
      <w:proofErr w:type="gramEnd"/>
      <w:r w:rsidRPr="003152E3">
        <w:t xml:space="preserve">: A </w:t>
      </w:r>
      <w:r>
        <w:t>S</w:t>
      </w:r>
      <w:r w:rsidRPr="003152E3">
        <w:t xml:space="preserve">hort </w:t>
      </w:r>
      <w:r>
        <w:t>R</w:t>
      </w:r>
      <w:r w:rsidRPr="003152E3">
        <w:t xml:space="preserve">eview of a </w:t>
      </w:r>
      <w:r>
        <w:t>L</w:t>
      </w:r>
      <w:r w:rsidRPr="003152E3">
        <w:t xml:space="preserve">ong </w:t>
      </w:r>
      <w:r>
        <w:t>H</w:t>
      </w:r>
      <w:r w:rsidRPr="003152E3">
        <w:t xml:space="preserve">istory. </w:t>
      </w:r>
      <w:r w:rsidRPr="003152E3">
        <w:rPr>
          <w:i/>
        </w:rPr>
        <w:t>Renewable Energy</w:t>
      </w:r>
      <w:r w:rsidRPr="003152E3">
        <w:t xml:space="preserve">, </w:t>
      </w:r>
      <w:r>
        <w:t>Vol. 36, No. 7</w:t>
      </w:r>
      <w:r w:rsidRPr="003152E3">
        <w:t>,</w:t>
      </w:r>
      <w:r>
        <w:t xml:space="preserve"> 2011, pp.</w:t>
      </w:r>
      <w:r w:rsidRPr="003152E3">
        <w:t xml:space="preserve"> 1887-1901.</w:t>
      </w:r>
    </w:p>
    <w:p w14:paraId="1E075CD0" w14:textId="77777777" w:rsidR="006C7AA9" w:rsidRDefault="006C7AA9" w:rsidP="006C7AA9">
      <w:pPr>
        <w:pStyle w:val="ListParagraph"/>
        <w:numPr>
          <w:ilvl w:val="0"/>
          <w:numId w:val="18"/>
        </w:numPr>
        <w:autoSpaceDE w:val="0"/>
        <w:autoSpaceDN w:val="0"/>
        <w:adjustRightInd w:val="0"/>
        <w:spacing w:after="120"/>
        <w:ind w:left="360"/>
        <w:contextualSpacing w:val="0"/>
        <w:jc w:val="both"/>
      </w:pPr>
      <w:r>
        <w:t xml:space="preserve">Middleton, D., Y. Li, J. Le, and N. </w:t>
      </w:r>
      <w:proofErr w:type="spellStart"/>
      <w:r>
        <w:t>Koncz</w:t>
      </w:r>
      <w:proofErr w:type="spellEnd"/>
      <w:r w:rsidRPr="003152E3">
        <w:t xml:space="preserve">. Accommodating </w:t>
      </w:r>
      <w:r>
        <w:t>O</w:t>
      </w:r>
      <w:r w:rsidRPr="003152E3">
        <w:t xml:space="preserve">versize </w:t>
      </w:r>
      <w:r>
        <w:t>and</w:t>
      </w:r>
      <w:r w:rsidRPr="003152E3">
        <w:t xml:space="preserve"> </w:t>
      </w:r>
      <w:r>
        <w:t>O</w:t>
      </w:r>
      <w:r w:rsidRPr="003152E3">
        <w:t xml:space="preserve">verweight </w:t>
      </w:r>
      <w:r>
        <w:t>L</w:t>
      </w:r>
      <w:r w:rsidRPr="003152E3">
        <w:t xml:space="preserve">oads. </w:t>
      </w:r>
      <w:r>
        <w:t xml:space="preserve">Report 0-6404-1, </w:t>
      </w:r>
      <w:r w:rsidRPr="003152E3">
        <w:t>Texas Transportation Institute</w:t>
      </w:r>
      <w:r>
        <w:t xml:space="preserve">, </w:t>
      </w:r>
      <w:proofErr w:type="gramStart"/>
      <w:r>
        <w:t>The</w:t>
      </w:r>
      <w:proofErr w:type="gramEnd"/>
      <w:r>
        <w:t xml:space="preserve"> Texas A&amp;M University System, 2012. </w:t>
      </w:r>
      <w:r w:rsidRPr="003152E3">
        <w:t xml:space="preserve">Available at: </w:t>
      </w:r>
      <w:hyperlink r:id="rId23" w:history="1">
        <w:r w:rsidRPr="00731BA4">
          <w:rPr>
            <w:rStyle w:val="Hyperlink"/>
          </w:rPr>
          <w:t>http://d2dtl5nnlpfr0r.cloudfront.net/tti.tamu.edu/documents/0-6404-1.pdf</w:t>
        </w:r>
      </w:hyperlink>
      <w:r w:rsidRPr="003152E3">
        <w:t>.</w:t>
      </w:r>
    </w:p>
    <w:p w14:paraId="1B806052" w14:textId="77777777" w:rsidR="006C7AA9" w:rsidRDefault="006C7AA9" w:rsidP="006C7AA9">
      <w:pPr>
        <w:pStyle w:val="ListParagraph"/>
        <w:numPr>
          <w:ilvl w:val="0"/>
          <w:numId w:val="18"/>
        </w:numPr>
        <w:autoSpaceDE w:val="0"/>
        <w:autoSpaceDN w:val="0"/>
        <w:adjustRightInd w:val="0"/>
        <w:spacing w:after="120"/>
        <w:ind w:left="360"/>
        <w:contextualSpacing w:val="0"/>
        <w:jc w:val="both"/>
      </w:pPr>
      <w:r w:rsidRPr="003152E3">
        <w:t xml:space="preserve">Banerjee, A., </w:t>
      </w:r>
      <w:r>
        <w:t xml:space="preserve">J. Prozzi, J. </w:t>
      </w:r>
      <w:r w:rsidRPr="003152E3">
        <w:t xml:space="preserve">Prozzi, </w:t>
      </w:r>
      <w:r>
        <w:t xml:space="preserve">and P. </w:t>
      </w:r>
      <w:proofErr w:type="spellStart"/>
      <w:r>
        <w:t>Buddhavarapu</w:t>
      </w:r>
      <w:proofErr w:type="spellEnd"/>
      <w:r>
        <w:t>. The I</w:t>
      </w:r>
      <w:r w:rsidRPr="003152E3">
        <w:t xml:space="preserve">mpact of </w:t>
      </w:r>
      <w:r>
        <w:t>W</w:t>
      </w:r>
      <w:r w:rsidRPr="003152E3">
        <w:t xml:space="preserve">ind </w:t>
      </w:r>
      <w:r>
        <w:t>T</w:t>
      </w:r>
      <w:r w:rsidRPr="003152E3">
        <w:t xml:space="preserve">urbine </w:t>
      </w:r>
      <w:r>
        <w:t>T</w:t>
      </w:r>
      <w:r w:rsidRPr="003152E3">
        <w:t xml:space="preserve">raffic on </w:t>
      </w:r>
      <w:r>
        <w:t>H</w:t>
      </w:r>
      <w:r w:rsidRPr="003152E3">
        <w:t xml:space="preserve">ighways in Texas, USA. </w:t>
      </w:r>
      <w:r w:rsidRPr="00E264D8">
        <w:rPr>
          <w:i/>
        </w:rPr>
        <w:t>Proceedings of the Institution of Civil Engineers-Transport</w:t>
      </w:r>
      <w:r w:rsidRPr="003152E3">
        <w:t xml:space="preserve">, </w:t>
      </w:r>
      <w:r>
        <w:t>Vol. 168, No. 1,</w:t>
      </w:r>
      <w:r w:rsidRPr="003152E3">
        <w:t xml:space="preserve"> </w:t>
      </w:r>
      <w:r>
        <w:t xml:space="preserve">2015, pp. </w:t>
      </w:r>
      <w:r w:rsidRPr="003152E3">
        <w:t>59-70.</w:t>
      </w:r>
    </w:p>
    <w:p w14:paraId="26FBEB94" w14:textId="77777777" w:rsidR="006C7AA9" w:rsidRPr="00A77CBA" w:rsidRDefault="006C7AA9" w:rsidP="006C7AA9">
      <w:pPr>
        <w:pStyle w:val="ListParagraph"/>
        <w:numPr>
          <w:ilvl w:val="0"/>
          <w:numId w:val="18"/>
        </w:numPr>
        <w:autoSpaceDE w:val="0"/>
        <w:autoSpaceDN w:val="0"/>
        <w:adjustRightInd w:val="0"/>
        <w:spacing w:after="120"/>
        <w:ind w:left="360"/>
        <w:contextualSpacing w:val="0"/>
        <w:jc w:val="both"/>
        <w:rPr>
          <w:rStyle w:val="Hyperlink"/>
          <w:color w:val="auto"/>
          <w:u w:val="none"/>
        </w:rPr>
      </w:pPr>
      <w:r w:rsidRPr="003152E3">
        <w:t>Local Road Research Board. Estimating the Traffic Impact on County Roads</w:t>
      </w:r>
      <w:r>
        <w:t xml:space="preserve"> from Wind Turbine Construction, 2012.</w:t>
      </w:r>
      <w:r w:rsidRPr="003152E3">
        <w:t xml:space="preserve"> </w:t>
      </w:r>
      <w:r w:rsidRPr="00A77CBA">
        <w:rPr>
          <w:sz w:val="23"/>
          <w:szCs w:val="23"/>
        </w:rPr>
        <w:t xml:space="preserve">Available at: </w:t>
      </w:r>
      <w:hyperlink r:id="rId24" w:history="1">
        <w:r w:rsidRPr="00A77CBA">
          <w:rPr>
            <w:rStyle w:val="Hyperlink"/>
            <w:sz w:val="23"/>
            <w:szCs w:val="23"/>
          </w:rPr>
          <w:t>http://www.lrrb.org/media/reports/2012RIC11TS.pdf</w:t>
        </w:r>
      </w:hyperlink>
      <w:r w:rsidRPr="00A77CBA">
        <w:rPr>
          <w:rStyle w:val="Hyperlink"/>
          <w:color w:val="auto"/>
          <w:sz w:val="23"/>
          <w:szCs w:val="23"/>
          <w:u w:val="none"/>
        </w:rPr>
        <w:t>.</w:t>
      </w:r>
    </w:p>
    <w:p w14:paraId="298952AD" w14:textId="77777777" w:rsidR="006C7AA9" w:rsidRDefault="006C7AA9" w:rsidP="006C7AA9">
      <w:pPr>
        <w:pStyle w:val="ListParagraph"/>
        <w:numPr>
          <w:ilvl w:val="0"/>
          <w:numId w:val="18"/>
        </w:numPr>
        <w:autoSpaceDE w:val="0"/>
        <w:autoSpaceDN w:val="0"/>
        <w:adjustRightInd w:val="0"/>
        <w:spacing w:after="120"/>
        <w:ind w:left="360"/>
        <w:contextualSpacing w:val="0"/>
        <w:jc w:val="both"/>
      </w:pPr>
      <w:proofErr w:type="spellStart"/>
      <w:r w:rsidRPr="003152E3">
        <w:t>Clossey</w:t>
      </w:r>
      <w:proofErr w:type="spellEnd"/>
      <w:r w:rsidRPr="003152E3">
        <w:t xml:space="preserve">, J., </w:t>
      </w:r>
      <w:r>
        <w:t xml:space="preserve">G. </w:t>
      </w:r>
      <w:proofErr w:type="spellStart"/>
      <w:r w:rsidRPr="003152E3">
        <w:t>Laporte</w:t>
      </w:r>
      <w:proofErr w:type="spellEnd"/>
      <w:r w:rsidRPr="003152E3">
        <w:t xml:space="preserve">, and </w:t>
      </w:r>
      <w:r>
        <w:t xml:space="preserve">P. </w:t>
      </w:r>
      <w:r w:rsidRPr="003152E3">
        <w:t xml:space="preserve">Soriano, P. Solving </w:t>
      </w:r>
      <w:r>
        <w:t>A</w:t>
      </w:r>
      <w:r w:rsidRPr="003152E3">
        <w:t xml:space="preserve">rc </w:t>
      </w:r>
      <w:r>
        <w:t>R</w:t>
      </w:r>
      <w:r w:rsidRPr="003152E3">
        <w:t xml:space="preserve">outing </w:t>
      </w:r>
      <w:r>
        <w:t>P</w:t>
      </w:r>
      <w:r w:rsidRPr="003152E3">
        <w:t xml:space="preserve">roblems with </w:t>
      </w:r>
      <w:r>
        <w:t>T</w:t>
      </w:r>
      <w:r w:rsidRPr="003152E3">
        <w:t xml:space="preserve">urn </w:t>
      </w:r>
      <w:r>
        <w:t>P</w:t>
      </w:r>
      <w:r w:rsidRPr="003152E3">
        <w:t xml:space="preserve">enalties. </w:t>
      </w:r>
      <w:r w:rsidRPr="003152E3">
        <w:rPr>
          <w:i/>
        </w:rPr>
        <w:t>Journal of the Operational Research Society</w:t>
      </w:r>
      <w:r w:rsidRPr="003152E3">
        <w:t xml:space="preserve">, </w:t>
      </w:r>
      <w:r>
        <w:t>Vol. 52, No. 4</w:t>
      </w:r>
      <w:r w:rsidRPr="003152E3">
        <w:t xml:space="preserve">, </w:t>
      </w:r>
      <w:r>
        <w:t xml:space="preserve">2001, pp. </w:t>
      </w:r>
      <w:r w:rsidRPr="003152E3">
        <w:t>433-439.</w:t>
      </w:r>
    </w:p>
    <w:p w14:paraId="14357C62" w14:textId="77777777" w:rsidR="006C7AA9" w:rsidRDefault="006C7AA9" w:rsidP="006C7AA9">
      <w:pPr>
        <w:pStyle w:val="ListParagraph"/>
        <w:numPr>
          <w:ilvl w:val="0"/>
          <w:numId w:val="18"/>
        </w:numPr>
        <w:autoSpaceDE w:val="0"/>
        <w:autoSpaceDN w:val="0"/>
        <w:adjustRightInd w:val="0"/>
        <w:spacing w:after="120"/>
        <w:ind w:left="360"/>
        <w:contextualSpacing w:val="0"/>
        <w:jc w:val="both"/>
      </w:pPr>
      <w:r w:rsidRPr="003152E3">
        <w:t>Arkin, E. M., M. A.</w:t>
      </w:r>
      <w:r>
        <w:t xml:space="preserve"> </w:t>
      </w:r>
      <w:r w:rsidRPr="003152E3">
        <w:t>Bender, E. D.</w:t>
      </w:r>
      <w:r>
        <w:t xml:space="preserve"> </w:t>
      </w:r>
      <w:proofErr w:type="spellStart"/>
      <w:r w:rsidRPr="003152E3">
        <w:t>Demaine</w:t>
      </w:r>
      <w:proofErr w:type="spellEnd"/>
      <w:r w:rsidRPr="003152E3">
        <w:t>, S. P.</w:t>
      </w:r>
      <w:r>
        <w:t xml:space="preserve"> </w:t>
      </w:r>
      <w:proofErr w:type="spellStart"/>
      <w:r w:rsidRPr="003152E3">
        <w:t>Fekete</w:t>
      </w:r>
      <w:proofErr w:type="spellEnd"/>
      <w:r w:rsidRPr="003152E3">
        <w:t>, J. S.</w:t>
      </w:r>
      <w:r>
        <w:t xml:space="preserve"> </w:t>
      </w:r>
      <w:r w:rsidRPr="003152E3">
        <w:t xml:space="preserve">Mitchell, and </w:t>
      </w:r>
      <w:r>
        <w:t xml:space="preserve">S. </w:t>
      </w:r>
      <w:proofErr w:type="spellStart"/>
      <w:r w:rsidRPr="003152E3">
        <w:t>Sethia</w:t>
      </w:r>
      <w:proofErr w:type="spellEnd"/>
      <w:r w:rsidRPr="003152E3">
        <w:t xml:space="preserve">. Optimal </w:t>
      </w:r>
      <w:r>
        <w:t>C</w:t>
      </w:r>
      <w:r w:rsidRPr="003152E3">
        <w:t xml:space="preserve">overing </w:t>
      </w:r>
      <w:r>
        <w:t>T</w:t>
      </w:r>
      <w:r w:rsidRPr="003152E3">
        <w:t xml:space="preserve">ours with </w:t>
      </w:r>
      <w:r>
        <w:t>T</w:t>
      </w:r>
      <w:r w:rsidRPr="003152E3">
        <w:t xml:space="preserve">urn </w:t>
      </w:r>
      <w:r>
        <w:t>C</w:t>
      </w:r>
      <w:r w:rsidRPr="003152E3">
        <w:t xml:space="preserve">osts. </w:t>
      </w:r>
      <w:r w:rsidRPr="003152E3">
        <w:rPr>
          <w:i/>
        </w:rPr>
        <w:t>SIAM Journal on Computing</w:t>
      </w:r>
      <w:r w:rsidRPr="003152E3">
        <w:t xml:space="preserve">, </w:t>
      </w:r>
      <w:r>
        <w:t>Vol. 35, No. 3</w:t>
      </w:r>
      <w:r w:rsidRPr="003152E3">
        <w:t xml:space="preserve">, </w:t>
      </w:r>
      <w:r>
        <w:t xml:space="preserve">2005, pp. </w:t>
      </w:r>
      <w:r w:rsidRPr="003152E3">
        <w:t>531-566.</w:t>
      </w:r>
    </w:p>
    <w:p w14:paraId="62F184A8" w14:textId="77777777" w:rsidR="006C7AA9" w:rsidRPr="00A77CBA" w:rsidRDefault="006C7AA9" w:rsidP="006C7AA9">
      <w:pPr>
        <w:pStyle w:val="ListParagraph"/>
        <w:numPr>
          <w:ilvl w:val="0"/>
          <w:numId w:val="18"/>
        </w:numPr>
        <w:autoSpaceDE w:val="0"/>
        <w:autoSpaceDN w:val="0"/>
        <w:adjustRightInd w:val="0"/>
        <w:spacing w:after="120"/>
        <w:ind w:left="360"/>
        <w:contextualSpacing w:val="0"/>
        <w:jc w:val="both"/>
      </w:pPr>
      <w:r>
        <w:t xml:space="preserve">Uddin, W., R. Haas, and </w:t>
      </w:r>
      <w:r w:rsidRPr="00CB663A">
        <w:t xml:space="preserve">W. R. </w:t>
      </w:r>
      <w:r>
        <w:t>Hudson</w:t>
      </w:r>
      <w:r w:rsidRPr="00CB663A">
        <w:t xml:space="preserve">. Pavement Design or Pavement Management? Good Design Is Not Enough. </w:t>
      </w:r>
      <w:r w:rsidRPr="00CB663A">
        <w:rPr>
          <w:i/>
        </w:rPr>
        <w:t>International Journal of Pavements</w:t>
      </w:r>
      <w:r>
        <w:rPr>
          <w:i/>
        </w:rPr>
        <w:t xml:space="preserve"> Conference Proceedings</w:t>
      </w:r>
      <w:r w:rsidRPr="00A77CBA">
        <w:t>, Sao Paulo, Brazil, December 2013.</w:t>
      </w:r>
    </w:p>
    <w:p w14:paraId="667AFEB1" w14:textId="77777777" w:rsidR="006C7AA9" w:rsidRDefault="006C7AA9" w:rsidP="006C7AA9">
      <w:pPr>
        <w:pStyle w:val="ListParagraph"/>
        <w:numPr>
          <w:ilvl w:val="0"/>
          <w:numId w:val="18"/>
        </w:numPr>
        <w:autoSpaceDE w:val="0"/>
        <w:autoSpaceDN w:val="0"/>
        <w:adjustRightInd w:val="0"/>
        <w:spacing w:after="120"/>
        <w:ind w:left="360"/>
        <w:contextualSpacing w:val="0"/>
        <w:jc w:val="both"/>
      </w:pPr>
      <w:r w:rsidRPr="00E264D8">
        <w:t xml:space="preserve">Harrison, J. D. Onshore </w:t>
      </w:r>
      <w:r>
        <w:t>W</w:t>
      </w:r>
      <w:r w:rsidRPr="00E264D8">
        <w:t xml:space="preserve">ind </w:t>
      </w:r>
      <w:r>
        <w:t>P</w:t>
      </w:r>
      <w:r w:rsidRPr="00E264D8">
        <w:t xml:space="preserve">ower </w:t>
      </w:r>
      <w:r>
        <w:t>S</w:t>
      </w:r>
      <w:r w:rsidRPr="00E264D8">
        <w:t xml:space="preserve">ystems (ONSWPS): A GIS-based </w:t>
      </w:r>
      <w:r>
        <w:t>T</w:t>
      </w:r>
      <w:r w:rsidRPr="00E264D8">
        <w:t xml:space="preserve">ool for </w:t>
      </w:r>
      <w:r>
        <w:t>P</w:t>
      </w:r>
      <w:r w:rsidRPr="00E264D8">
        <w:t xml:space="preserve">reliminary </w:t>
      </w:r>
      <w:r>
        <w:t>S</w:t>
      </w:r>
      <w:r w:rsidRPr="00E264D8">
        <w:t xml:space="preserve">ite-suitability </w:t>
      </w:r>
      <w:r>
        <w:t>A</w:t>
      </w:r>
      <w:r w:rsidRPr="00E264D8">
        <w:t>nalysis</w:t>
      </w:r>
      <w:r>
        <w:t>. MS Thesis</w:t>
      </w:r>
      <w:r w:rsidRPr="00E264D8">
        <w:t>, Geographic Information Science and Technology</w:t>
      </w:r>
      <w:r>
        <w:t xml:space="preserve">, </w:t>
      </w:r>
      <w:r w:rsidRPr="00E264D8">
        <w:t>Un</w:t>
      </w:r>
      <w:r>
        <w:t>iversity of Southern California, 2012</w:t>
      </w:r>
      <w:r w:rsidRPr="00E264D8">
        <w:t>.</w:t>
      </w:r>
    </w:p>
    <w:p w14:paraId="0963A5C4" w14:textId="77777777" w:rsidR="006C7AA9" w:rsidRDefault="006C7AA9" w:rsidP="006C7AA9">
      <w:pPr>
        <w:pStyle w:val="ListParagraph"/>
        <w:numPr>
          <w:ilvl w:val="0"/>
          <w:numId w:val="18"/>
        </w:numPr>
        <w:autoSpaceDE w:val="0"/>
        <w:autoSpaceDN w:val="0"/>
        <w:adjustRightInd w:val="0"/>
        <w:spacing w:after="120"/>
        <w:ind w:left="360"/>
        <w:contextualSpacing w:val="0"/>
        <w:jc w:val="both"/>
      </w:pPr>
      <w:proofErr w:type="spellStart"/>
      <w:r w:rsidRPr="003152E3">
        <w:t>Apergis</w:t>
      </w:r>
      <w:proofErr w:type="spellEnd"/>
      <w:r w:rsidRPr="003152E3">
        <w:t xml:space="preserve">, N., and J. E. </w:t>
      </w:r>
      <w:r>
        <w:t>Payne</w:t>
      </w:r>
      <w:r w:rsidRPr="003152E3">
        <w:t xml:space="preserve">. Renewable </w:t>
      </w:r>
      <w:r>
        <w:t>E</w:t>
      </w:r>
      <w:r w:rsidRPr="003152E3">
        <w:t xml:space="preserve">nergy </w:t>
      </w:r>
      <w:r>
        <w:t>C</w:t>
      </w:r>
      <w:r w:rsidRPr="003152E3">
        <w:t xml:space="preserve">onsumption and </w:t>
      </w:r>
      <w:r>
        <w:t>E</w:t>
      </w:r>
      <w:r w:rsidRPr="003152E3">
        <w:t xml:space="preserve">conomic </w:t>
      </w:r>
      <w:r>
        <w:t>G</w:t>
      </w:r>
      <w:r w:rsidRPr="003152E3">
        <w:t xml:space="preserve">rowth: </w:t>
      </w:r>
      <w:r>
        <w:t>E</w:t>
      </w:r>
      <w:r w:rsidRPr="003152E3">
        <w:t xml:space="preserve">vidence from a </w:t>
      </w:r>
      <w:r>
        <w:t>P</w:t>
      </w:r>
      <w:r w:rsidRPr="003152E3">
        <w:t xml:space="preserve">anel of OECD </w:t>
      </w:r>
      <w:r>
        <w:t>C</w:t>
      </w:r>
      <w:r w:rsidRPr="003152E3">
        <w:t xml:space="preserve">ountries. </w:t>
      </w:r>
      <w:r>
        <w:rPr>
          <w:i/>
        </w:rPr>
        <w:t>Energy P</w:t>
      </w:r>
      <w:r w:rsidRPr="003152E3">
        <w:rPr>
          <w:i/>
        </w:rPr>
        <w:t>olicy</w:t>
      </w:r>
      <w:r w:rsidRPr="003152E3">
        <w:t xml:space="preserve">, </w:t>
      </w:r>
      <w:r>
        <w:t>Vol. 38, No. 1</w:t>
      </w:r>
      <w:r w:rsidRPr="003152E3">
        <w:t xml:space="preserve">, </w:t>
      </w:r>
      <w:r>
        <w:t xml:space="preserve">2010, pp. </w:t>
      </w:r>
      <w:r w:rsidRPr="003152E3">
        <w:t>656-660.</w:t>
      </w:r>
    </w:p>
    <w:p w14:paraId="15CAA578" w14:textId="4EDB04CD" w:rsidR="006C7AA9" w:rsidRDefault="006C7AA9" w:rsidP="006C7AA9">
      <w:pPr>
        <w:pStyle w:val="ListParagraph"/>
        <w:numPr>
          <w:ilvl w:val="0"/>
          <w:numId w:val="18"/>
        </w:numPr>
        <w:autoSpaceDE w:val="0"/>
        <w:autoSpaceDN w:val="0"/>
        <w:adjustRightInd w:val="0"/>
        <w:spacing w:after="120"/>
        <w:ind w:left="360"/>
        <w:contextualSpacing w:val="0"/>
        <w:jc w:val="both"/>
      </w:pPr>
      <w:proofErr w:type="spellStart"/>
      <w:r w:rsidRPr="003152E3">
        <w:t>Ohler</w:t>
      </w:r>
      <w:proofErr w:type="spellEnd"/>
      <w:r w:rsidRPr="003152E3">
        <w:t xml:space="preserve">, A., and </w:t>
      </w:r>
      <w:r>
        <w:t xml:space="preserve">I. </w:t>
      </w:r>
      <w:r w:rsidRPr="003152E3">
        <w:t xml:space="preserve">Fetters. The </w:t>
      </w:r>
      <w:r>
        <w:t>C</w:t>
      </w:r>
      <w:r w:rsidRPr="003152E3">
        <w:t xml:space="preserve">ausal </w:t>
      </w:r>
      <w:r>
        <w:t>R</w:t>
      </w:r>
      <w:r w:rsidRPr="003152E3">
        <w:t xml:space="preserve">elationship </w:t>
      </w:r>
      <w:r>
        <w:t>B</w:t>
      </w:r>
      <w:r w:rsidRPr="003152E3">
        <w:t xml:space="preserve">etween </w:t>
      </w:r>
      <w:r>
        <w:t>R</w:t>
      </w:r>
      <w:r w:rsidRPr="003152E3">
        <w:t xml:space="preserve">enewable </w:t>
      </w:r>
      <w:r>
        <w:t>E</w:t>
      </w:r>
      <w:r w:rsidRPr="003152E3">
        <w:t xml:space="preserve">lectricity </w:t>
      </w:r>
      <w:r>
        <w:t>G</w:t>
      </w:r>
      <w:r w:rsidRPr="003152E3">
        <w:t xml:space="preserve">eneration and GDP </w:t>
      </w:r>
      <w:r>
        <w:t>G</w:t>
      </w:r>
      <w:r w:rsidRPr="003152E3">
        <w:t xml:space="preserve">rowth: A </w:t>
      </w:r>
      <w:r>
        <w:t>S</w:t>
      </w:r>
      <w:r w:rsidRPr="003152E3">
        <w:t xml:space="preserve">tudy of </w:t>
      </w:r>
      <w:r>
        <w:t>E</w:t>
      </w:r>
      <w:r w:rsidRPr="003152E3">
        <w:t xml:space="preserve">nergy </w:t>
      </w:r>
      <w:r>
        <w:t>S</w:t>
      </w:r>
      <w:r w:rsidRPr="003152E3">
        <w:t xml:space="preserve">ources. </w:t>
      </w:r>
      <w:r w:rsidRPr="006C7AA9">
        <w:rPr>
          <w:i/>
        </w:rPr>
        <w:t>Energy Economics</w:t>
      </w:r>
      <w:r w:rsidRPr="003152E3">
        <w:t xml:space="preserve">, </w:t>
      </w:r>
      <w:r>
        <w:t xml:space="preserve">Vol. </w:t>
      </w:r>
      <w:r w:rsidRPr="003152E3">
        <w:t xml:space="preserve">43, </w:t>
      </w:r>
      <w:r>
        <w:t xml:space="preserve">2014, pp. </w:t>
      </w:r>
      <w:r w:rsidRPr="003152E3">
        <w:t>125-139.</w:t>
      </w:r>
    </w:p>
    <w:p w14:paraId="5D36F10A" w14:textId="77777777" w:rsidR="006C7AA9" w:rsidRPr="00494E99" w:rsidRDefault="006C7AA9" w:rsidP="006C7AA9">
      <w:pPr>
        <w:pStyle w:val="ListParagraph"/>
        <w:autoSpaceDE w:val="0"/>
        <w:autoSpaceDN w:val="0"/>
        <w:adjustRightInd w:val="0"/>
        <w:spacing w:after="120"/>
        <w:ind w:left="360"/>
        <w:contextualSpacing w:val="0"/>
      </w:pPr>
    </w:p>
    <w:p w14:paraId="43607196" w14:textId="77777777" w:rsidR="009C0948" w:rsidRDefault="009C0948" w:rsidP="0067454F">
      <w:pPr>
        <w:tabs>
          <w:tab w:val="left" w:pos="9270"/>
        </w:tabs>
        <w:ind w:left="360" w:hanging="360"/>
        <w:jc w:val="both"/>
        <w:rPr>
          <w:noProof/>
        </w:rPr>
        <w:sectPr w:rsidR="009C0948" w:rsidSect="00D476DB">
          <w:headerReference w:type="default" r:id="rId25"/>
          <w:footerReference w:type="default" r:id="rId26"/>
          <w:pgSz w:w="12240" w:h="15840"/>
          <w:pgMar w:top="1440" w:right="1440" w:bottom="1440" w:left="1440" w:header="720" w:footer="720" w:gutter="0"/>
          <w:pgNumType w:start="1"/>
          <w:cols w:space="720"/>
          <w:docGrid w:linePitch="360"/>
        </w:sectPr>
      </w:pPr>
    </w:p>
    <w:p w14:paraId="65F26A9F" w14:textId="77777777" w:rsidR="00696BB7" w:rsidRDefault="00696BB7" w:rsidP="00586848">
      <w:pPr>
        <w:tabs>
          <w:tab w:val="left" w:pos="9270"/>
        </w:tabs>
        <w:spacing w:after="60"/>
        <w:jc w:val="center"/>
        <w:rPr>
          <w:b/>
          <w:sz w:val="22"/>
          <w:szCs w:val="24"/>
        </w:rPr>
      </w:pPr>
    </w:p>
    <w:p w14:paraId="1FF13B84" w14:textId="77777777" w:rsidR="0077417B" w:rsidRDefault="00C7203F" w:rsidP="00586848">
      <w:pPr>
        <w:tabs>
          <w:tab w:val="left" w:pos="9270"/>
        </w:tabs>
        <w:spacing w:after="60"/>
        <w:jc w:val="center"/>
        <w:rPr>
          <w:b/>
          <w:sz w:val="22"/>
          <w:szCs w:val="24"/>
        </w:rPr>
      </w:pPr>
      <w:r w:rsidRPr="0094492D">
        <w:rPr>
          <w:b/>
          <w:noProof/>
          <w:sz w:val="22"/>
          <w:szCs w:val="24"/>
        </w:rPr>
        <w:drawing>
          <wp:inline distT="0" distB="0" distL="0" distR="0" wp14:anchorId="5C5D0CFE" wp14:editId="78C8541F">
            <wp:extent cx="4425696" cy="4169664"/>
            <wp:effectExtent l="0" t="0" r="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aseScenarioFINALAug1.jpg"/>
                    <pic:cNvPicPr/>
                  </pic:nvPicPr>
                  <pic:blipFill>
                    <a:blip r:embed="rId27">
                      <a:extLst>
                        <a:ext uri="{28A0092B-C50C-407E-A947-70E740481C1C}">
                          <a14:useLocalDpi xmlns:a14="http://schemas.microsoft.com/office/drawing/2010/main" val="0"/>
                        </a:ext>
                      </a:extLst>
                    </a:blip>
                    <a:stretch>
                      <a:fillRect/>
                    </a:stretch>
                  </pic:blipFill>
                  <pic:spPr>
                    <a:xfrm>
                      <a:off x="0" y="0"/>
                      <a:ext cx="4425696" cy="4169664"/>
                    </a:xfrm>
                    <a:prstGeom prst="rect">
                      <a:avLst/>
                    </a:prstGeom>
                  </pic:spPr>
                </pic:pic>
              </a:graphicData>
            </a:graphic>
          </wp:inline>
        </w:drawing>
      </w:r>
      <w:r w:rsidR="00586848">
        <w:rPr>
          <w:b/>
          <w:sz w:val="22"/>
          <w:szCs w:val="24"/>
        </w:rPr>
        <w:t xml:space="preserve">  </w:t>
      </w:r>
      <w:r w:rsidR="00C65361" w:rsidRPr="0094492D">
        <w:rPr>
          <w:b/>
          <w:noProof/>
          <w:sz w:val="22"/>
          <w:szCs w:val="24"/>
        </w:rPr>
        <w:drawing>
          <wp:inline distT="0" distB="0" distL="0" distR="0" wp14:anchorId="38502B7D" wp14:editId="76A12868">
            <wp:extent cx="4416552" cy="4169664"/>
            <wp:effectExtent l="0" t="0" r="3175"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aseScenarioFINALAug1.jpg"/>
                    <pic:cNvPicPr/>
                  </pic:nvPicPr>
                  <pic:blipFill>
                    <a:blip r:embed="rId28">
                      <a:extLst>
                        <a:ext uri="{28A0092B-C50C-407E-A947-70E740481C1C}">
                          <a14:useLocalDpi xmlns:a14="http://schemas.microsoft.com/office/drawing/2010/main" val="0"/>
                        </a:ext>
                      </a:extLst>
                    </a:blip>
                    <a:stretch>
                      <a:fillRect/>
                    </a:stretch>
                  </pic:blipFill>
                  <pic:spPr>
                    <a:xfrm>
                      <a:off x="0" y="0"/>
                      <a:ext cx="4416552" cy="4169664"/>
                    </a:xfrm>
                    <a:prstGeom prst="rect">
                      <a:avLst/>
                    </a:prstGeom>
                  </pic:spPr>
                </pic:pic>
              </a:graphicData>
            </a:graphic>
          </wp:inline>
        </w:drawing>
      </w:r>
    </w:p>
    <w:p w14:paraId="0485040F" w14:textId="77777777" w:rsidR="00586848" w:rsidRDefault="00586848" w:rsidP="00586848">
      <w:pPr>
        <w:tabs>
          <w:tab w:val="left" w:pos="9270"/>
        </w:tabs>
        <w:spacing w:after="60"/>
        <w:jc w:val="center"/>
        <w:rPr>
          <w:b/>
          <w:sz w:val="22"/>
          <w:szCs w:val="24"/>
        </w:rPr>
      </w:pPr>
      <w:r>
        <w:rPr>
          <w:b/>
          <w:sz w:val="22"/>
          <w:szCs w:val="24"/>
        </w:rPr>
        <w:t xml:space="preserve">    </w:t>
      </w:r>
    </w:p>
    <w:p w14:paraId="7DF96366" w14:textId="77777777" w:rsidR="00586848" w:rsidRDefault="00586848" w:rsidP="00586848">
      <w:pPr>
        <w:tabs>
          <w:tab w:val="left" w:pos="9270"/>
        </w:tabs>
        <w:spacing w:after="60"/>
        <w:jc w:val="center"/>
        <w:rPr>
          <w:b/>
          <w:szCs w:val="24"/>
        </w:rPr>
        <w:sectPr w:rsidR="00586848" w:rsidSect="00696BB7">
          <w:headerReference w:type="default" r:id="rId29"/>
          <w:pgSz w:w="15840" w:h="12240" w:orient="landscape" w:code="1"/>
          <w:pgMar w:top="1440" w:right="864" w:bottom="1440" w:left="864" w:header="720" w:footer="720" w:gutter="0"/>
          <w:cols w:space="720"/>
          <w:docGrid w:linePitch="360"/>
        </w:sectPr>
      </w:pPr>
      <w:r w:rsidRPr="00E14697">
        <w:rPr>
          <w:b/>
          <w:sz w:val="22"/>
          <w:szCs w:val="24"/>
        </w:rPr>
        <w:t xml:space="preserve">FIGURE </w:t>
      </w:r>
      <w:proofErr w:type="gramStart"/>
      <w:r w:rsidR="00DB2BAC">
        <w:rPr>
          <w:b/>
          <w:sz w:val="22"/>
          <w:szCs w:val="24"/>
        </w:rPr>
        <w:t xml:space="preserve">1 </w:t>
      </w:r>
      <w:r w:rsidR="00DB2BAC" w:rsidRPr="00E14697">
        <w:rPr>
          <w:b/>
          <w:sz w:val="22"/>
          <w:szCs w:val="24"/>
        </w:rPr>
        <w:t xml:space="preserve"> </w:t>
      </w:r>
      <w:r>
        <w:rPr>
          <w:b/>
          <w:sz w:val="22"/>
          <w:szCs w:val="24"/>
        </w:rPr>
        <w:t>Route</w:t>
      </w:r>
      <w:proofErr w:type="gramEnd"/>
      <w:r>
        <w:rPr>
          <w:b/>
          <w:sz w:val="22"/>
          <w:szCs w:val="24"/>
        </w:rPr>
        <w:t xml:space="preserve"> </w:t>
      </w:r>
      <w:r w:rsidR="00696BB7">
        <w:rPr>
          <w:b/>
          <w:sz w:val="22"/>
          <w:szCs w:val="24"/>
        </w:rPr>
        <w:t>p</w:t>
      </w:r>
      <w:r>
        <w:rPr>
          <w:b/>
          <w:sz w:val="22"/>
          <w:szCs w:val="24"/>
        </w:rPr>
        <w:t>lans for the different scenarios</w:t>
      </w:r>
      <w:r w:rsidR="00696BB7">
        <w:rPr>
          <w:b/>
          <w:sz w:val="22"/>
          <w:szCs w:val="24"/>
        </w:rPr>
        <w:t>.</w:t>
      </w:r>
    </w:p>
    <w:p w14:paraId="636749D9" w14:textId="77777777" w:rsidR="00696BB7" w:rsidRDefault="00696BB7" w:rsidP="00696BB7">
      <w:pPr>
        <w:tabs>
          <w:tab w:val="left" w:pos="9270"/>
        </w:tabs>
        <w:spacing w:after="60"/>
        <w:jc w:val="center"/>
        <w:rPr>
          <w:b/>
          <w:szCs w:val="24"/>
        </w:rPr>
      </w:pPr>
    </w:p>
    <w:p w14:paraId="0C88E52C" w14:textId="77777777" w:rsidR="00874B96" w:rsidRPr="00696BB7" w:rsidRDefault="009F17CC" w:rsidP="00696BB7">
      <w:pPr>
        <w:tabs>
          <w:tab w:val="left" w:pos="9270"/>
        </w:tabs>
        <w:spacing w:after="60"/>
        <w:jc w:val="center"/>
        <w:rPr>
          <w:b/>
          <w:szCs w:val="24"/>
        </w:rPr>
      </w:pPr>
      <w:r w:rsidRPr="00D73B66">
        <w:rPr>
          <w:b/>
          <w:szCs w:val="24"/>
        </w:rPr>
        <w:t xml:space="preserve">TABLE </w:t>
      </w:r>
      <w:proofErr w:type="gramStart"/>
      <w:r w:rsidR="00874B96">
        <w:rPr>
          <w:b/>
          <w:szCs w:val="24"/>
        </w:rPr>
        <w:t>1</w:t>
      </w:r>
      <w:r w:rsidR="001F31FD">
        <w:rPr>
          <w:b/>
          <w:szCs w:val="24"/>
        </w:rPr>
        <w:t xml:space="preserve"> </w:t>
      </w:r>
      <w:r w:rsidR="00696BB7">
        <w:rPr>
          <w:b/>
          <w:szCs w:val="24"/>
        </w:rPr>
        <w:t xml:space="preserve"> </w:t>
      </w:r>
      <w:r w:rsidR="00874B96">
        <w:rPr>
          <w:b/>
          <w:szCs w:val="24"/>
        </w:rPr>
        <w:t>Prediction</w:t>
      </w:r>
      <w:proofErr w:type="gramEnd"/>
      <w:r w:rsidR="00874B96">
        <w:rPr>
          <w:b/>
          <w:szCs w:val="24"/>
        </w:rPr>
        <w:t xml:space="preserve"> Model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3"/>
        <w:gridCol w:w="1230"/>
        <w:gridCol w:w="1073"/>
      </w:tblGrid>
      <w:tr w:rsidR="00874B96" w14:paraId="5FC4155E" w14:textId="77777777" w:rsidTr="00696BB7">
        <w:trPr>
          <w:trHeight w:val="317"/>
          <w:jc w:val="center"/>
        </w:trPr>
        <w:tc>
          <w:tcPr>
            <w:tcW w:w="3463" w:type="dxa"/>
            <w:tcBorders>
              <w:top w:val="double" w:sz="4" w:space="0" w:color="auto"/>
              <w:left w:val="double" w:sz="4" w:space="0" w:color="auto"/>
              <w:bottom w:val="double" w:sz="4" w:space="0" w:color="auto"/>
              <w:right w:val="double" w:sz="4" w:space="0" w:color="auto"/>
            </w:tcBorders>
            <w:shd w:val="clear" w:color="auto" w:fill="D9D9D9"/>
            <w:vAlign w:val="center"/>
          </w:tcPr>
          <w:p w14:paraId="7ACC8C91" w14:textId="77777777" w:rsidR="00874B96" w:rsidRPr="004E449E" w:rsidRDefault="00874B96" w:rsidP="00696BB7">
            <w:pPr>
              <w:jc w:val="center"/>
              <w:rPr>
                <w:b/>
                <w:bCs/>
                <w:color w:val="000000"/>
                <w:sz w:val="22"/>
                <w:szCs w:val="24"/>
              </w:rPr>
            </w:pPr>
            <w:r w:rsidRPr="004E449E">
              <w:rPr>
                <w:b/>
                <w:bCs/>
                <w:color w:val="000000"/>
                <w:sz w:val="22"/>
                <w:szCs w:val="24"/>
              </w:rPr>
              <w:t>Variable</w:t>
            </w:r>
          </w:p>
        </w:tc>
        <w:tc>
          <w:tcPr>
            <w:tcW w:w="1230" w:type="dxa"/>
            <w:tcBorders>
              <w:top w:val="double" w:sz="4" w:space="0" w:color="auto"/>
              <w:left w:val="double" w:sz="4" w:space="0" w:color="auto"/>
              <w:bottom w:val="double" w:sz="4" w:space="0" w:color="auto"/>
            </w:tcBorders>
            <w:shd w:val="clear" w:color="auto" w:fill="D9D9D9"/>
            <w:vAlign w:val="center"/>
          </w:tcPr>
          <w:p w14:paraId="143990BD" w14:textId="77777777" w:rsidR="00874B96" w:rsidRPr="004E449E" w:rsidRDefault="00874B96" w:rsidP="00696BB7">
            <w:pPr>
              <w:jc w:val="center"/>
              <w:rPr>
                <w:b/>
                <w:bCs/>
                <w:color w:val="000000"/>
                <w:sz w:val="22"/>
                <w:szCs w:val="24"/>
              </w:rPr>
            </w:pPr>
            <w:proofErr w:type="spellStart"/>
            <w:r w:rsidRPr="004E449E">
              <w:rPr>
                <w:b/>
                <w:bCs/>
                <w:color w:val="000000"/>
                <w:sz w:val="22"/>
                <w:szCs w:val="24"/>
              </w:rPr>
              <w:t>Coeff</w:t>
            </w:r>
            <w:proofErr w:type="spellEnd"/>
            <w:r w:rsidRPr="004E449E">
              <w:rPr>
                <w:b/>
                <w:bCs/>
                <w:color w:val="000000"/>
                <w:sz w:val="22"/>
                <w:szCs w:val="24"/>
              </w:rPr>
              <w:t>.</w:t>
            </w:r>
          </w:p>
        </w:tc>
        <w:tc>
          <w:tcPr>
            <w:tcW w:w="1073" w:type="dxa"/>
            <w:tcBorders>
              <w:top w:val="double" w:sz="4" w:space="0" w:color="auto"/>
              <w:bottom w:val="double" w:sz="4" w:space="0" w:color="auto"/>
              <w:right w:val="double" w:sz="4" w:space="0" w:color="auto"/>
            </w:tcBorders>
            <w:shd w:val="clear" w:color="auto" w:fill="D9D9D9"/>
            <w:vAlign w:val="center"/>
          </w:tcPr>
          <w:p w14:paraId="7F725216" w14:textId="77777777" w:rsidR="00874B96" w:rsidRPr="004E449E" w:rsidRDefault="00874B96" w:rsidP="00696BB7">
            <w:pPr>
              <w:jc w:val="center"/>
              <w:rPr>
                <w:b/>
                <w:bCs/>
                <w:color w:val="000000"/>
                <w:sz w:val="22"/>
                <w:szCs w:val="24"/>
              </w:rPr>
            </w:pPr>
            <w:r w:rsidRPr="004E449E">
              <w:rPr>
                <w:b/>
                <w:bCs/>
                <w:color w:val="000000"/>
                <w:sz w:val="22"/>
                <w:szCs w:val="24"/>
              </w:rPr>
              <w:t>t-stat</w:t>
            </w:r>
          </w:p>
        </w:tc>
      </w:tr>
      <w:tr w:rsidR="00874B96" w14:paraId="7AAF55F5" w14:textId="77777777" w:rsidTr="00696BB7">
        <w:trPr>
          <w:trHeight w:val="317"/>
          <w:jc w:val="center"/>
        </w:trPr>
        <w:tc>
          <w:tcPr>
            <w:tcW w:w="3463" w:type="dxa"/>
            <w:tcBorders>
              <w:top w:val="double" w:sz="4" w:space="0" w:color="auto"/>
              <w:left w:val="double" w:sz="4" w:space="0" w:color="auto"/>
              <w:right w:val="double" w:sz="4" w:space="0" w:color="auto"/>
            </w:tcBorders>
            <w:shd w:val="clear" w:color="auto" w:fill="auto"/>
          </w:tcPr>
          <w:p w14:paraId="0074AF43" w14:textId="77777777" w:rsidR="00874B96" w:rsidRPr="004E449E" w:rsidRDefault="00874B96" w:rsidP="004E449E">
            <w:pPr>
              <w:jc w:val="both"/>
              <w:rPr>
                <w:bCs/>
                <w:color w:val="000000"/>
                <w:sz w:val="22"/>
                <w:szCs w:val="24"/>
              </w:rPr>
            </w:pPr>
            <w:r w:rsidRPr="004E449E">
              <w:rPr>
                <w:bCs/>
                <w:color w:val="000000"/>
                <w:sz w:val="22"/>
                <w:szCs w:val="24"/>
              </w:rPr>
              <w:t>Constant</w:t>
            </w:r>
          </w:p>
        </w:tc>
        <w:tc>
          <w:tcPr>
            <w:tcW w:w="1230" w:type="dxa"/>
            <w:tcBorders>
              <w:top w:val="double" w:sz="4" w:space="0" w:color="auto"/>
              <w:left w:val="double" w:sz="4" w:space="0" w:color="auto"/>
            </w:tcBorders>
            <w:shd w:val="clear" w:color="auto" w:fill="auto"/>
          </w:tcPr>
          <w:p w14:paraId="17745756" w14:textId="77777777" w:rsidR="00874B96" w:rsidRPr="004E449E" w:rsidRDefault="00874B96" w:rsidP="0077216F">
            <w:pPr>
              <w:tabs>
                <w:tab w:val="decimal" w:pos="299"/>
              </w:tabs>
              <w:jc w:val="both"/>
              <w:rPr>
                <w:bCs/>
                <w:color w:val="000000"/>
                <w:sz w:val="22"/>
                <w:szCs w:val="24"/>
              </w:rPr>
            </w:pPr>
            <w:r w:rsidRPr="004E449E">
              <w:rPr>
                <w:bCs/>
                <w:color w:val="000000"/>
                <w:sz w:val="22"/>
                <w:szCs w:val="24"/>
              </w:rPr>
              <w:t>-4.</w:t>
            </w:r>
            <w:r w:rsidR="0077216F" w:rsidRPr="004E449E">
              <w:rPr>
                <w:bCs/>
                <w:color w:val="000000"/>
                <w:sz w:val="22"/>
                <w:szCs w:val="24"/>
              </w:rPr>
              <w:t>33</w:t>
            </w:r>
            <w:r w:rsidR="0077216F">
              <w:rPr>
                <w:bCs/>
                <w:color w:val="000000"/>
                <w:sz w:val="22"/>
                <w:szCs w:val="24"/>
              </w:rPr>
              <w:t>6</w:t>
            </w:r>
          </w:p>
        </w:tc>
        <w:tc>
          <w:tcPr>
            <w:tcW w:w="1073" w:type="dxa"/>
            <w:tcBorders>
              <w:top w:val="double" w:sz="4" w:space="0" w:color="auto"/>
              <w:right w:val="double" w:sz="4" w:space="0" w:color="auto"/>
            </w:tcBorders>
            <w:shd w:val="clear" w:color="auto" w:fill="auto"/>
          </w:tcPr>
          <w:p w14:paraId="65474858" w14:textId="3D5FF55A" w:rsidR="00874B96" w:rsidRPr="004E449E" w:rsidRDefault="00874B96" w:rsidP="0077216F">
            <w:pPr>
              <w:tabs>
                <w:tab w:val="decimal" w:pos="291"/>
              </w:tabs>
              <w:jc w:val="both"/>
              <w:rPr>
                <w:bCs/>
                <w:color w:val="000000"/>
                <w:sz w:val="22"/>
                <w:szCs w:val="24"/>
              </w:rPr>
            </w:pPr>
            <w:r w:rsidRPr="004E449E">
              <w:rPr>
                <w:bCs/>
                <w:color w:val="000000"/>
                <w:sz w:val="22"/>
                <w:szCs w:val="24"/>
              </w:rPr>
              <w:t>-0.</w:t>
            </w:r>
            <w:r w:rsidR="0077216F" w:rsidRPr="004E449E">
              <w:rPr>
                <w:bCs/>
                <w:color w:val="000000"/>
                <w:sz w:val="22"/>
                <w:szCs w:val="24"/>
              </w:rPr>
              <w:t>5</w:t>
            </w:r>
            <w:r w:rsidR="0077216F">
              <w:rPr>
                <w:bCs/>
                <w:color w:val="000000"/>
                <w:sz w:val="22"/>
                <w:szCs w:val="24"/>
              </w:rPr>
              <w:t>2</w:t>
            </w:r>
          </w:p>
        </w:tc>
      </w:tr>
      <w:tr w:rsidR="00874B96" w14:paraId="7DD8BF39" w14:textId="77777777" w:rsidTr="00696BB7">
        <w:trPr>
          <w:trHeight w:val="317"/>
          <w:jc w:val="center"/>
        </w:trPr>
        <w:tc>
          <w:tcPr>
            <w:tcW w:w="3463" w:type="dxa"/>
            <w:tcBorders>
              <w:left w:val="double" w:sz="4" w:space="0" w:color="auto"/>
              <w:right w:val="double" w:sz="4" w:space="0" w:color="auto"/>
            </w:tcBorders>
            <w:shd w:val="clear" w:color="auto" w:fill="auto"/>
          </w:tcPr>
          <w:p w14:paraId="33819583" w14:textId="77777777" w:rsidR="00874B96" w:rsidRPr="004E449E" w:rsidRDefault="00874B96" w:rsidP="004E449E">
            <w:pPr>
              <w:jc w:val="both"/>
              <w:rPr>
                <w:bCs/>
                <w:i/>
                <w:color w:val="000000"/>
                <w:sz w:val="22"/>
                <w:szCs w:val="24"/>
              </w:rPr>
            </w:pPr>
            <w:r w:rsidRPr="004E449E">
              <w:rPr>
                <w:bCs/>
                <w:i/>
                <w:color w:val="000000"/>
                <w:sz w:val="22"/>
                <w:szCs w:val="24"/>
              </w:rPr>
              <w:t>GDP</w:t>
            </w:r>
            <w:r w:rsidRPr="004E449E">
              <w:rPr>
                <w:bCs/>
                <w:i/>
                <w:color w:val="000000"/>
                <w:sz w:val="22"/>
                <w:szCs w:val="24"/>
                <w:vertAlign w:val="subscript"/>
              </w:rPr>
              <w:t>t</w:t>
            </w:r>
            <w:r w:rsidRPr="00C6569B">
              <w:rPr>
                <w:bCs/>
                <w:color w:val="000000"/>
                <w:sz w:val="22"/>
                <w:szCs w:val="24"/>
                <w:vertAlign w:val="subscript"/>
              </w:rPr>
              <w:t>,</w:t>
            </w:r>
            <w:r w:rsidRPr="004E449E">
              <w:rPr>
                <w:bCs/>
                <w:i/>
                <w:color w:val="000000"/>
                <w:sz w:val="22"/>
                <w:szCs w:val="24"/>
                <w:vertAlign w:val="subscript"/>
              </w:rPr>
              <w:t>t</w:t>
            </w:r>
            <w:r w:rsidRPr="00C6569B">
              <w:rPr>
                <w:bCs/>
                <w:color w:val="000000"/>
                <w:sz w:val="22"/>
                <w:szCs w:val="24"/>
                <w:vertAlign w:val="subscript"/>
              </w:rPr>
              <w:t>-1</w:t>
            </w:r>
          </w:p>
        </w:tc>
        <w:tc>
          <w:tcPr>
            <w:tcW w:w="1230" w:type="dxa"/>
            <w:tcBorders>
              <w:left w:val="double" w:sz="4" w:space="0" w:color="auto"/>
            </w:tcBorders>
            <w:shd w:val="clear" w:color="auto" w:fill="auto"/>
          </w:tcPr>
          <w:p w14:paraId="0D517FA9" w14:textId="77777777" w:rsidR="00874B96" w:rsidRPr="004E449E" w:rsidRDefault="00874B96" w:rsidP="004E449E">
            <w:pPr>
              <w:tabs>
                <w:tab w:val="decimal" w:pos="299"/>
              </w:tabs>
              <w:jc w:val="both"/>
              <w:rPr>
                <w:bCs/>
                <w:color w:val="000000"/>
                <w:sz w:val="22"/>
                <w:szCs w:val="24"/>
              </w:rPr>
            </w:pPr>
            <w:r w:rsidRPr="004E449E">
              <w:rPr>
                <w:bCs/>
                <w:color w:val="000000"/>
                <w:sz w:val="22"/>
                <w:szCs w:val="24"/>
              </w:rPr>
              <w:t>0.958</w:t>
            </w:r>
          </w:p>
        </w:tc>
        <w:tc>
          <w:tcPr>
            <w:tcW w:w="1073" w:type="dxa"/>
            <w:tcBorders>
              <w:right w:val="double" w:sz="4" w:space="0" w:color="auto"/>
            </w:tcBorders>
            <w:shd w:val="clear" w:color="auto" w:fill="auto"/>
          </w:tcPr>
          <w:p w14:paraId="0A9B2B4C" w14:textId="77777777" w:rsidR="00874B96" w:rsidRPr="004E449E" w:rsidRDefault="00874B96" w:rsidP="004E449E">
            <w:pPr>
              <w:tabs>
                <w:tab w:val="decimal" w:pos="291"/>
              </w:tabs>
              <w:jc w:val="both"/>
              <w:rPr>
                <w:bCs/>
                <w:color w:val="000000"/>
                <w:sz w:val="22"/>
                <w:szCs w:val="24"/>
              </w:rPr>
            </w:pPr>
            <w:r w:rsidRPr="004E449E">
              <w:rPr>
                <w:bCs/>
                <w:color w:val="000000"/>
                <w:sz w:val="22"/>
                <w:szCs w:val="24"/>
              </w:rPr>
              <w:t>2.82</w:t>
            </w:r>
          </w:p>
        </w:tc>
      </w:tr>
      <w:tr w:rsidR="00874B96" w14:paraId="15ED53A0" w14:textId="77777777" w:rsidTr="00696BB7">
        <w:trPr>
          <w:trHeight w:val="317"/>
          <w:jc w:val="center"/>
        </w:trPr>
        <w:tc>
          <w:tcPr>
            <w:tcW w:w="3463" w:type="dxa"/>
            <w:tcBorders>
              <w:left w:val="double" w:sz="4" w:space="0" w:color="auto"/>
              <w:right w:val="double" w:sz="4" w:space="0" w:color="auto"/>
            </w:tcBorders>
            <w:shd w:val="clear" w:color="auto" w:fill="auto"/>
          </w:tcPr>
          <w:p w14:paraId="7F2CEBE2" w14:textId="77777777" w:rsidR="00874B96" w:rsidRPr="004E449E" w:rsidRDefault="00874B96" w:rsidP="004E449E">
            <w:pPr>
              <w:jc w:val="both"/>
              <w:rPr>
                <w:bCs/>
                <w:i/>
                <w:color w:val="000000"/>
                <w:sz w:val="22"/>
                <w:szCs w:val="24"/>
              </w:rPr>
            </w:pPr>
            <w:r w:rsidRPr="004E449E">
              <w:rPr>
                <w:bCs/>
                <w:i/>
                <w:color w:val="000000"/>
                <w:sz w:val="22"/>
                <w:szCs w:val="24"/>
              </w:rPr>
              <w:t>Dlines</w:t>
            </w:r>
            <w:r w:rsidRPr="004E449E">
              <w:rPr>
                <w:bCs/>
                <w:i/>
                <w:color w:val="000000"/>
                <w:sz w:val="22"/>
                <w:szCs w:val="24"/>
                <w:vertAlign w:val="subscript"/>
              </w:rPr>
              <w:t>q</w:t>
            </w:r>
            <w:r w:rsidRPr="00C6569B">
              <w:rPr>
                <w:bCs/>
                <w:color w:val="000000"/>
                <w:sz w:val="22"/>
                <w:szCs w:val="24"/>
                <w:vertAlign w:val="subscript"/>
              </w:rPr>
              <w:t>,</w:t>
            </w:r>
            <w:r w:rsidRPr="004E449E">
              <w:rPr>
                <w:bCs/>
                <w:i/>
                <w:color w:val="000000"/>
                <w:sz w:val="22"/>
                <w:szCs w:val="24"/>
                <w:vertAlign w:val="subscript"/>
              </w:rPr>
              <w:t>t</w:t>
            </w:r>
            <w:r w:rsidRPr="004E449E">
              <w:rPr>
                <w:bCs/>
                <w:i/>
                <w:color w:val="000000"/>
                <w:sz w:val="22"/>
                <w:szCs w:val="24"/>
              </w:rPr>
              <w:t>-Dlines</w:t>
            </w:r>
            <w:r w:rsidRPr="004E449E">
              <w:rPr>
                <w:bCs/>
                <w:i/>
                <w:color w:val="000000"/>
                <w:sz w:val="22"/>
                <w:szCs w:val="24"/>
                <w:vertAlign w:val="subscript"/>
              </w:rPr>
              <w:t>q</w:t>
            </w:r>
            <w:r w:rsidRPr="00C6569B">
              <w:rPr>
                <w:bCs/>
                <w:color w:val="000000"/>
                <w:sz w:val="22"/>
                <w:szCs w:val="24"/>
                <w:vertAlign w:val="subscript"/>
              </w:rPr>
              <w:t>,</w:t>
            </w:r>
            <w:r w:rsidRPr="004E449E">
              <w:rPr>
                <w:bCs/>
                <w:i/>
                <w:color w:val="000000"/>
                <w:sz w:val="22"/>
                <w:szCs w:val="24"/>
                <w:vertAlign w:val="subscript"/>
              </w:rPr>
              <w:t>t</w:t>
            </w:r>
            <w:r w:rsidRPr="00C6569B">
              <w:rPr>
                <w:bCs/>
                <w:color w:val="000000"/>
                <w:sz w:val="22"/>
                <w:szCs w:val="24"/>
                <w:vertAlign w:val="subscript"/>
              </w:rPr>
              <w:t>-1</w:t>
            </w:r>
          </w:p>
        </w:tc>
        <w:tc>
          <w:tcPr>
            <w:tcW w:w="1230" w:type="dxa"/>
            <w:tcBorders>
              <w:left w:val="double" w:sz="4" w:space="0" w:color="auto"/>
            </w:tcBorders>
            <w:shd w:val="clear" w:color="auto" w:fill="auto"/>
          </w:tcPr>
          <w:p w14:paraId="796238CE" w14:textId="77777777" w:rsidR="00874B96" w:rsidRPr="004E449E" w:rsidRDefault="00874B96" w:rsidP="004E449E">
            <w:pPr>
              <w:tabs>
                <w:tab w:val="decimal" w:pos="299"/>
              </w:tabs>
              <w:jc w:val="both"/>
              <w:rPr>
                <w:bCs/>
                <w:color w:val="000000"/>
                <w:sz w:val="22"/>
                <w:szCs w:val="24"/>
              </w:rPr>
            </w:pPr>
            <w:r w:rsidRPr="004E449E">
              <w:rPr>
                <w:bCs/>
                <w:color w:val="000000"/>
                <w:sz w:val="22"/>
                <w:szCs w:val="24"/>
              </w:rPr>
              <w:t>-0.100</w:t>
            </w:r>
          </w:p>
        </w:tc>
        <w:tc>
          <w:tcPr>
            <w:tcW w:w="1073" w:type="dxa"/>
            <w:tcBorders>
              <w:right w:val="double" w:sz="4" w:space="0" w:color="auto"/>
            </w:tcBorders>
            <w:shd w:val="clear" w:color="auto" w:fill="auto"/>
          </w:tcPr>
          <w:p w14:paraId="482A32D8" w14:textId="77777777" w:rsidR="00874B96" w:rsidRPr="004E449E" w:rsidRDefault="0077216F" w:rsidP="004E449E">
            <w:pPr>
              <w:tabs>
                <w:tab w:val="decimal" w:pos="291"/>
              </w:tabs>
              <w:jc w:val="both"/>
              <w:rPr>
                <w:bCs/>
                <w:color w:val="000000"/>
                <w:sz w:val="22"/>
                <w:szCs w:val="24"/>
              </w:rPr>
            </w:pPr>
            <w:r>
              <w:rPr>
                <w:bCs/>
                <w:color w:val="000000"/>
                <w:sz w:val="22"/>
                <w:szCs w:val="24"/>
              </w:rPr>
              <w:t>-</w:t>
            </w:r>
            <w:r w:rsidR="00874B96" w:rsidRPr="004E449E">
              <w:rPr>
                <w:bCs/>
                <w:color w:val="000000"/>
                <w:sz w:val="22"/>
                <w:szCs w:val="24"/>
              </w:rPr>
              <w:t>2.86</w:t>
            </w:r>
          </w:p>
        </w:tc>
      </w:tr>
      <w:tr w:rsidR="00874B96" w14:paraId="4FEA75DF" w14:textId="77777777" w:rsidTr="00696BB7">
        <w:trPr>
          <w:trHeight w:val="317"/>
          <w:jc w:val="center"/>
        </w:trPr>
        <w:tc>
          <w:tcPr>
            <w:tcW w:w="3463" w:type="dxa"/>
            <w:tcBorders>
              <w:left w:val="double" w:sz="4" w:space="0" w:color="auto"/>
              <w:right w:val="double" w:sz="4" w:space="0" w:color="auto"/>
            </w:tcBorders>
            <w:shd w:val="clear" w:color="auto" w:fill="auto"/>
          </w:tcPr>
          <w:p w14:paraId="4CADDBB8" w14:textId="77777777" w:rsidR="00874B96" w:rsidRPr="004E449E" w:rsidRDefault="00874B96" w:rsidP="004E449E">
            <w:pPr>
              <w:jc w:val="both"/>
              <w:rPr>
                <w:bCs/>
                <w:i/>
                <w:color w:val="000000"/>
                <w:sz w:val="22"/>
                <w:szCs w:val="24"/>
              </w:rPr>
            </w:pPr>
            <w:proofErr w:type="spellStart"/>
            <w:r w:rsidRPr="004E449E">
              <w:rPr>
                <w:bCs/>
                <w:i/>
                <w:color w:val="000000"/>
                <w:sz w:val="22"/>
                <w:szCs w:val="24"/>
              </w:rPr>
              <w:t>RPS</w:t>
            </w:r>
            <w:r w:rsidRPr="004E449E">
              <w:rPr>
                <w:bCs/>
                <w:i/>
                <w:color w:val="000000"/>
                <w:sz w:val="22"/>
                <w:szCs w:val="24"/>
                <w:vertAlign w:val="subscript"/>
              </w:rPr>
              <w:t>t</w:t>
            </w:r>
            <w:proofErr w:type="spellEnd"/>
          </w:p>
        </w:tc>
        <w:tc>
          <w:tcPr>
            <w:tcW w:w="1230" w:type="dxa"/>
            <w:tcBorders>
              <w:left w:val="double" w:sz="4" w:space="0" w:color="auto"/>
            </w:tcBorders>
            <w:shd w:val="clear" w:color="auto" w:fill="auto"/>
          </w:tcPr>
          <w:p w14:paraId="44D2FD55" w14:textId="77777777" w:rsidR="00874B96" w:rsidRPr="004E449E" w:rsidRDefault="00874B96" w:rsidP="0077216F">
            <w:pPr>
              <w:tabs>
                <w:tab w:val="decimal" w:pos="299"/>
              </w:tabs>
              <w:jc w:val="both"/>
              <w:rPr>
                <w:bCs/>
                <w:color w:val="000000"/>
                <w:sz w:val="22"/>
                <w:szCs w:val="24"/>
              </w:rPr>
            </w:pPr>
            <w:r w:rsidRPr="004E449E">
              <w:rPr>
                <w:bCs/>
                <w:color w:val="000000"/>
                <w:sz w:val="22"/>
                <w:szCs w:val="24"/>
              </w:rPr>
              <w:t>8.</w:t>
            </w:r>
            <w:r w:rsidR="0077216F" w:rsidRPr="004E449E">
              <w:rPr>
                <w:bCs/>
                <w:color w:val="000000"/>
                <w:sz w:val="22"/>
                <w:szCs w:val="24"/>
              </w:rPr>
              <w:t>91</w:t>
            </w:r>
            <w:r w:rsidR="0077216F">
              <w:rPr>
                <w:bCs/>
                <w:color w:val="000000"/>
                <w:sz w:val="22"/>
                <w:szCs w:val="24"/>
              </w:rPr>
              <w:t>5</w:t>
            </w:r>
          </w:p>
        </w:tc>
        <w:tc>
          <w:tcPr>
            <w:tcW w:w="1073" w:type="dxa"/>
            <w:tcBorders>
              <w:right w:val="double" w:sz="4" w:space="0" w:color="auto"/>
            </w:tcBorders>
            <w:shd w:val="clear" w:color="auto" w:fill="auto"/>
          </w:tcPr>
          <w:p w14:paraId="6D4D7766" w14:textId="77777777" w:rsidR="00874B96" w:rsidRPr="004E449E" w:rsidRDefault="00874B96" w:rsidP="004E449E">
            <w:pPr>
              <w:tabs>
                <w:tab w:val="decimal" w:pos="291"/>
              </w:tabs>
              <w:jc w:val="both"/>
              <w:rPr>
                <w:bCs/>
                <w:color w:val="000000"/>
                <w:sz w:val="22"/>
                <w:szCs w:val="24"/>
              </w:rPr>
            </w:pPr>
            <w:r w:rsidRPr="004E449E">
              <w:rPr>
                <w:bCs/>
                <w:color w:val="000000"/>
                <w:sz w:val="22"/>
                <w:szCs w:val="24"/>
              </w:rPr>
              <w:t>2.42</w:t>
            </w:r>
          </w:p>
        </w:tc>
      </w:tr>
      <w:tr w:rsidR="00874B96" w14:paraId="1DEBA003" w14:textId="77777777" w:rsidTr="00696BB7">
        <w:trPr>
          <w:trHeight w:val="317"/>
          <w:jc w:val="center"/>
        </w:trPr>
        <w:tc>
          <w:tcPr>
            <w:tcW w:w="3463" w:type="dxa"/>
            <w:tcBorders>
              <w:left w:val="double" w:sz="4" w:space="0" w:color="auto"/>
              <w:right w:val="double" w:sz="4" w:space="0" w:color="auto"/>
            </w:tcBorders>
            <w:shd w:val="clear" w:color="auto" w:fill="auto"/>
          </w:tcPr>
          <w:p w14:paraId="70B8C28D" w14:textId="77777777" w:rsidR="00874B96" w:rsidRPr="004E449E" w:rsidRDefault="00874B96" w:rsidP="004E449E">
            <w:pPr>
              <w:jc w:val="both"/>
              <w:rPr>
                <w:bCs/>
                <w:color w:val="000000"/>
                <w:sz w:val="22"/>
                <w:szCs w:val="24"/>
              </w:rPr>
            </w:pPr>
            <w:r w:rsidRPr="004E449E">
              <w:rPr>
                <w:bCs/>
                <w:color w:val="000000"/>
                <w:sz w:val="22"/>
                <w:szCs w:val="24"/>
              </w:rPr>
              <w:t>Dummy West Texas – Low WPC</w:t>
            </w:r>
          </w:p>
        </w:tc>
        <w:tc>
          <w:tcPr>
            <w:tcW w:w="1230" w:type="dxa"/>
            <w:tcBorders>
              <w:left w:val="double" w:sz="4" w:space="0" w:color="auto"/>
            </w:tcBorders>
            <w:shd w:val="clear" w:color="auto" w:fill="auto"/>
          </w:tcPr>
          <w:p w14:paraId="7B0C938E" w14:textId="77777777" w:rsidR="00874B96" w:rsidRPr="004E449E" w:rsidRDefault="00874B96" w:rsidP="004E449E">
            <w:pPr>
              <w:tabs>
                <w:tab w:val="decimal" w:pos="299"/>
              </w:tabs>
              <w:jc w:val="both"/>
              <w:rPr>
                <w:bCs/>
                <w:color w:val="000000"/>
                <w:sz w:val="22"/>
                <w:szCs w:val="24"/>
              </w:rPr>
            </w:pPr>
            <w:r w:rsidRPr="004E449E">
              <w:rPr>
                <w:bCs/>
                <w:color w:val="000000"/>
                <w:sz w:val="22"/>
                <w:szCs w:val="24"/>
              </w:rPr>
              <w:t>-4.537</w:t>
            </w:r>
          </w:p>
        </w:tc>
        <w:tc>
          <w:tcPr>
            <w:tcW w:w="1073" w:type="dxa"/>
            <w:tcBorders>
              <w:right w:val="double" w:sz="4" w:space="0" w:color="auto"/>
            </w:tcBorders>
            <w:shd w:val="clear" w:color="auto" w:fill="auto"/>
          </w:tcPr>
          <w:p w14:paraId="2C85A3DA" w14:textId="77777777" w:rsidR="00874B96" w:rsidRPr="004E449E" w:rsidRDefault="00874B96" w:rsidP="0077216F">
            <w:pPr>
              <w:tabs>
                <w:tab w:val="decimal" w:pos="291"/>
              </w:tabs>
              <w:jc w:val="both"/>
              <w:rPr>
                <w:bCs/>
                <w:color w:val="000000"/>
                <w:sz w:val="22"/>
                <w:szCs w:val="24"/>
              </w:rPr>
            </w:pPr>
            <w:r w:rsidRPr="004E449E">
              <w:rPr>
                <w:bCs/>
                <w:color w:val="000000"/>
                <w:sz w:val="22"/>
                <w:szCs w:val="24"/>
              </w:rPr>
              <w:t>-2.</w:t>
            </w:r>
            <w:r w:rsidR="0077216F" w:rsidRPr="004E449E">
              <w:rPr>
                <w:bCs/>
                <w:color w:val="000000"/>
                <w:sz w:val="22"/>
                <w:szCs w:val="24"/>
              </w:rPr>
              <w:t>6</w:t>
            </w:r>
            <w:r w:rsidR="0077216F">
              <w:rPr>
                <w:bCs/>
                <w:color w:val="000000"/>
                <w:sz w:val="22"/>
                <w:szCs w:val="24"/>
              </w:rPr>
              <w:t>9</w:t>
            </w:r>
          </w:p>
        </w:tc>
      </w:tr>
      <w:tr w:rsidR="00874B96" w14:paraId="1518ACEA" w14:textId="77777777" w:rsidTr="00696BB7">
        <w:trPr>
          <w:trHeight w:val="317"/>
          <w:jc w:val="center"/>
        </w:trPr>
        <w:tc>
          <w:tcPr>
            <w:tcW w:w="3463" w:type="dxa"/>
            <w:tcBorders>
              <w:left w:val="double" w:sz="4" w:space="0" w:color="auto"/>
              <w:right w:val="double" w:sz="4" w:space="0" w:color="auto"/>
            </w:tcBorders>
            <w:shd w:val="clear" w:color="auto" w:fill="auto"/>
          </w:tcPr>
          <w:p w14:paraId="7366674E" w14:textId="77777777" w:rsidR="00874B96" w:rsidRPr="004E449E" w:rsidRDefault="00874B96" w:rsidP="004E449E">
            <w:pPr>
              <w:jc w:val="both"/>
              <w:rPr>
                <w:bCs/>
                <w:color w:val="000000"/>
                <w:sz w:val="22"/>
                <w:szCs w:val="24"/>
              </w:rPr>
            </w:pPr>
            <w:r w:rsidRPr="004E449E">
              <w:rPr>
                <w:bCs/>
                <w:color w:val="000000"/>
                <w:sz w:val="22"/>
                <w:szCs w:val="24"/>
              </w:rPr>
              <w:t>Dummy West Texas – High WPC</w:t>
            </w:r>
          </w:p>
        </w:tc>
        <w:tc>
          <w:tcPr>
            <w:tcW w:w="1230" w:type="dxa"/>
            <w:tcBorders>
              <w:left w:val="double" w:sz="4" w:space="0" w:color="auto"/>
            </w:tcBorders>
            <w:shd w:val="clear" w:color="auto" w:fill="auto"/>
          </w:tcPr>
          <w:p w14:paraId="3A9621D5" w14:textId="77777777" w:rsidR="00874B96" w:rsidRPr="004E449E" w:rsidRDefault="00874B96" w:rsidP="004E449E">
            <w:pPr>
              <w:tabs>
                <w:tab w:val="decimal" w:pos="299"/>
              </w:tabs>
              <w:jc w:val="both"/>
              <w:rPr>
                <w:bCs/>
                <w:color w:val="000000"/>
                <w:sz w:val="22"/>
                <w:szCs w:val="24"/>
              </w:rPr>
            </w:pPr>
            <w:r w:rsidRPr="004E449E">
              <w:rPr>
                <w:bCs/>
                <w:color w:val="000000"/>
                <w:sz w:val="22"/>
                <w:szCs w:val="24"/>
              </w:rPr>
              <w:t>-6.79</w:t>
            </w:r>
            <w:r w:rsidR="0077216F">
              <w:rPr>
                <w:bCs/>
                <w:color w:val="000000"/>
                <w:sz w:val="22"/>
                <w:szCs w:val="24"/>
              </w:rPr>
              <w:t>3</w:t>
            </w:r>
          </w:p>
        </w:tc>
        <w:tc>
          <w:tcPr>
            <w:tcW w:w="1073" w:type="dxa"/>
            <w:tcBorders>
              <w:right w:val="double" w:sz="4" w:space="0" w:color="auto"/>
            </w:tcBorders>
            <w:shd w:val="clear" w:color="auto" w:fill="auto"/>
          </w:tcPr>
          <w:p w14:paraId="2C9CC405" w14:textId="77777777" w:rsidR="00874B96" w:rsidRPr="004E449E" w:rsidRDefault="00874B96" w:rsidP="004E449E">
            <w:pPr>
              <w:tabs>
                <w:tab w:val="decimal" w:pos="291"/>
              </w:tabs>
              <w:jc w:val="both"/>
              <w:rPr>
                <w:bCs/>
                <w:color w:val="000000"/>
                <w:sz w:val="22"/>
                <w:szCs w:val="24"/>
              </w:rPr>
            </w:pPr>
            <w:r w:rsidRPr="004E449E">
              <w:rPr>
                <w:bCs/>
                <w:color w:val="000000"/>
                <w:sz w:val="22"/>
                <w:szCs w:val="24"/>
              </w:rPr>
              <w:t>-2.5</w:t>
            </w:r>
            <w:r w:rsidR="0077216F">
              <w:rPr>
                <w:bCs/>
                <w:color w:val="000000"/>
                <w:sz w:val="22"/>
                <w:szCs w:val="24"/>
              </w:rPr>
              <w:t>8</w:t>
            </w:r>
          </w:p>
        </w:tc>
      </w:tr>
      <w:tr w:rsidR="00874B96" w14:paraId="4CC3289A" w14:textId="77777777" w:rsidTr="00696BB7">
        <w:trPr>
          <w:trHeight w:val="317"/>
          <w:jc w:val="center"/>
        </w:trPr>
        <w:tc>
          <w:tcPr>
            <w:tcW w:w="3463" w:type="dxa"/>
            <w:tcBorders>
              <w:left w:val="double" w:sz="4" w:space="0" w:color="auto"/>
              <w:right w:val="double" w:sz="4" w:space="0" w:color="auto"/>
            </w:tcBorders>
            <w:shd w:val="clear" w:color="auto" w:fill="auto"/>
          </w:tcPr>
          <w:p w14:paraId="6EAE5037" w14:textId="77777777" w:rsidR="00874B96" w:rsidRPr="004E449E" w:rsidRDefault="00874B96" w:rsidP="004E449E">
            <w:pPr>
              <w:jc w:val="both"/>
              <w:rPr>
                <w:bCs/>
                <w:color w:val="000000"/>
                <w:sz w:val="22"/>
                <w:szCs w:val="24"/>
              </w:rPr>
            </w:pPr>
            <w:r w:rsidRPr="004E449E">
              <w:rPr>
                <w:bCs/>
                <w:color w:val="000000"/>
                <w:sz w:val="22"/>
                <w:szCs w:val="24"/>
              </w:rPr>
              <w:t>Dummy North Texas</w:t>
            </w:r>
          </w:p>
        </w:tc>
        <w:tc>
          <w:tcPr>
            <w:tcW w:w="1230" w:type="dxa"/>
            <w:tcBorders>
              <w:left w:val="double" w:sz="4" w:space="0" w:color="auto"/>
            </w:tcBorders>
            <w:shd w:val="clear" w:color="auto" w:fill="auto"/>
          </w:tcPr>
          <w:p w14:paraId="30484B90" w14:textId="77777777" w:rsidR="00874B96" w:rsidRPr="004E449E" w:rsidRDefault="00874B96" w:rsidP="004E449E">
            <w:pPr>
              <w:tabs>
                <w:tab w:val="decimal" w:pos="299"/>
              </w:tabs>
              <w:jc w:val="both"/>
              <w:rPr>
                <w:bCs/>
                <w:color w:val="000000"/>
                <w:sz w:val="22"/>
                <w:szCs w:val="24"/>
              </w:rPr>
            </w:pPr>
            <w:r w:rsidRPr="004E449E">
              <w:rPr>
                <w:bCs/>
                <w:color w:val="000000"/>
                <w:sz w:val="22"/>
                <w:szCs w:val="24"/>
              </w:rPr>
              <w:t>-0.46</w:t>
            </w:r>
            <w:r w:rsidR="0077216F">
              <w:rPr>
                <w:bCs/>
                <w:color w:val="000000"/>
                <w:sz w:val="22"/>
                <w:szCs w:val="24"/>
              </w:rPr>
              <w:t>4</w:t>
            </w:r>
          </w:p>
        </w:tc>
        <w:tc>
          <w:tcPr>
            <w:tcW w:w="1073" w:type="dxa"/>
            <w:tcBorders>
              <w:right w:val="double" w:sz="4" w:space="0" w:color="auto"/>
            </w:tcBorders>
            <w:shd w:val="clear" w:color="auto" w:fill="auto"/>
          </w:tcPr>
          <w:p w14:paraId="60879745" w14:textId="77777777" w:rsidR="00874B96" w:rsidRPr="004E449E" w:rsidRDefault="00874B96" w:rsidP="004E449E">
            <w:pPr>
              <w:tabs>
                <w:tab w:val="decimal" w:pos="291"/>
              </w:tabs>
              <w:jc w:val="both"/>
              <w:rPr>
                <w:bCs/>
                <w:color w:val="000000"/>
                <w:sz w:val="22"/>
                <w:szCs w:val="24"/>
              </w:rPr>
            </w:pPr>
            <w:r w:rsidRPr="004E449E">
              <w:rPr>
                <w:bCs/>
                <w:color w:val="000000"/>
                <w:sz w:val="22"/>
                <w:szCs w:val="24"/>
              </w:rPr>
              <w:t>-2.</w:t>
            </w:r>
            <w:r w:rsidR="0077216F">
              <w:rPr>
                <w:bCs/>
                <w:color w:val="000000"/>
                <w:sz w:val="22"/>
                <w:szCs w:val="24"/>
              </w:rPr>
              <w:t>16</w:t>
            </w:r>
          </w:p>
        </w:tc>
      </w:tr>
      <w:tr w:rsidR="00874B96" w14:paraId="60FD956E" w14:textId="77777777" w:rsidTr="00696BB7">
        <w:trPr>
          <w:trHeight w:val="317"/>
          <w:jc w:val="center"/>
        </w:trPr>
        <w:tc>
          <w:tcPr>
            <w:tcW w:w="3463" w:type="dxa"/>
            <w:tcBorders>
              <w:left w:val="double" w:sz="4" w:space="0" w:color="auto"/>
              <w:bottom w:val="single" w:sz="4" w:space="0" w:color="auto"/>
              <w:right w:val="double" w:sz="4" w:space="0" w:color="auto"/>
            </w:tcBorders>
            <w:shd w:val="clear" w:color="auto" w:fill="auto"/>
          </w:tcPr>
          <w:p w14:paraId="75F9836B" w14:textId="77777777" w:rsidR="00874B96" w:rsidRPr="004E449E" w:rsidRDefault="00874B96" w:rsidP="004E449E">
            <w:pPr>
              <w:jc w:val="both"/>
              <w:rPr>
                <w:bCs/>
                <w:color w:val="000000"/>
                <w:sz w:val="22"/>
                <w:szCs w:val="24"/>
              </w:rPr>
            </w:pPr>
            <w:r w:rsidRPr="004E449E">
              <w:rPr>
                <w:bCs/>
                <w:color w:val="000000"/>
                <w:sz w:val="22"/>
                <w:szCs w:val="24"/>
              </w:rPr>
              <w:t>Dummy Panhandle</w:t>
            </w:r>
          </w:p>
        </w:tc>
        <w:tc>
          <w:tcPr>
            <w:tcW w:w="1230" w:type="dxa"/>
            <w:tcBorders>
              <w:left w:val="double" w:sz="4" w:space="0" w:color="auto"/>
              <w:bottom w:val="single" w:sz="4" w:space="0" w:color="auto"/>
            </w:tcBorders>
            <w:shd w:val="clear" w:color="auto" w:fill="auto"/>
          </w:tcPr>
          <w:p w14:paraId="00339A29" w14:textId="77777777" w:rsidR="00874B96" w:rsidRPr="004E449E" w:rsidRDefault="00874B96" w:rsidP="0077216F">
            <w:pPr>
              <w:tabs>
                <w:tab w:val="decimal" w:pos="299"/>
              </w:tabs>
              <w:jc w:val="both"/>
              <w:rPr>
                <w:bCs/>
                <w:color w:val="000000"/>
                <w:sz w:val="22"/>
                <w:szCs w:val="24"/>
              </w:rPr>
            </w:pPr>
            <w:r w:rsidRPr="004E449E">
              <w:rPr>
                <w:bCs/>
                <w:color w:val="000000"/>
                <w:sz w:val="22"/>
                <w:szCs w:val="24"/>
              </w:rPr>
              <w:t>9.</w:t>
            </w:r>
            <w:r w:rsidR="0077216F" w:rsidRPr="004E449E">
              <w:rPr>
                <w:bCs/>
                <w:color w:val="000000"/>
                <w:sz w:val="22"/>
                <w:szCs w:val="24"/>
              </w:rPr>
              <w:t>19</w:t>
            </w:r>
            <w:r w:rsidR="0077216F">
              <w:rPr>
                <w:bCs/>
                <w:color w:val="000000"/>
                <w:sz w:val="22"/>
                <w:szCs w:val="24"/>
              </w:rPr>
              <w:t>6</w:t>
            </w:r>
          </w:p>
        </w:tc>
        <w:tc>
          <w:tcPr>
            <w:tcW w:w="1073" w:type="dxa"/>
            <w:tcBorders>
              <w:bottom w:val="single" w:sz="4" w:space="0" w:color="auto"/>
              <w:right w:val="double" w:sz="4" w:space="0" w:color="auto"/>
            </w:tcBorders>
            <w:shd w:val="clear" w:color="auto" w:fill="auto"/>
          </w:tcPr>
          <w:p w14:paraId="56ADB4CA" w14:textId="77777777" w:rsidR="00874B96" w:rsidRPr="004E449E" w:rsidRDefault="00874B96" w:rsidP="0077216F">
            <w:pPr>
              <w:tabs>
                <w:tab w:val="decimal" w:pos="291"/>
              </w:tabs>
              <w:jc w:val="both"/>
              <w:rPr>
                <w:bCs/>
                <w:color w:val="000000"/>
                <w:sz w:val="22"/>
                <w:szCs w:val="24"/>
              </w:rPr>
            </w:pPr>
            <w:r w:rsidRPr="004E449E">
              <w:rPr>
                <w:bCs/>
                <w:color w:val="000000"/>
                <w:sz w:val="22"/>
                <w:szCs w:val="24"/>
              </w:rPr>
              <w:t>3.3</w:t>
            </w:r>
            <w:r w:rsidR="0077216F">
              <w:rPr>
                <w:bCs/>
                <w:color w:val="000000"/>
                <w:sz w:val="22"/>
                <w:szCs w:val="24"/>
              </w:rPr>
              <w:t>7</w:t>
            </w:r>
          </w:p>
        </w:tc>
      </w:tr>
      <w:tr w:rsidR="00874B96" w14:paraId="6EA0F4D4" w14:textId="77777777" w:rsidTr="00696BB7">
        <w:trPr>
          <w:trHeight w:val="317"/>
          <w:jc w:val="center"/>
        </w:trPr>
        <w:tc>
          <w:tcPr>
            <w:tcW w:w="3463" w:type="dxa"/>
            <w:tcBorders>
              <w:left w:val="double" w:sz="4" w:space="0" w:color="auto"/>
              <w:bottom w:val="single" w:sz="4" w:space="0" w:color="auto"/>
              <w:right w:val="double" w:sz="4" w:space="0" w:color="auto"/>
            </w:tcBorders>
            <w:shd w:val="clear" w:color="auto" w:fill="auto"/>
          </w:tcPr>
          <w:p w14:paraId="7B5A8256" w14:textId="77777777" w:rsidR="00874B96" w:rsidRPr="004E449E" w:rsidRDefault="00874B96" w:rsidP="004E449E">
            <w:pPr>
              <w:jc w:val="both"/>
              <w:rPr>
                <w:bCs/>
                <w:i/>
                <w:color w:val="000000"/>
                <w:sz w:val="22"/>
                <w:szCs w:val="24"/>
              </w:rPr>
            </w:pPr>
            <w:r w:rsidRPr="004E449E">
              <w:rPr>
                <w:bCs/>
                <w:i/>
                <w:color w:val="000000"/>
                <w:sz w:val="22"/>
                <w:szCs w:val="24"/>
              </w:rPr>
              <w:t>w</w:t>
            </w:r>
            <w:r w:rsidRPr="004E449E">
              <w:rPr>
                <w:bCs/>
                <w:i/>
                <w:color w:val="000000"/>
                <w:sz w:val="22"/>
                <w:szCs w:val="24"/>
                <w:vertAlign w:val="subscript"/>
              </w:rPr>
              <w:t>q</w:t>
            </w:r>
            <w:r w:rsidRPr="00C6569B">
              <w:rPr>
                <w:bCs/>
                <w:color w:val="000000"/>
                <w:sz w:val="22"/>
                <w:szCs w:val="24"/>
                <w:vertAlign w:val="subscript"/>
              </w:rPr>
              <w:t>,</w:t>
            </w:r>
            <w:r w:rsidRPr="004E449E">
              <w:rPr>
                <w:bCs/>
                <w:i/>
                <w:color w:val="000000"/>
                <w:sz w:val="22"/>
                <w:szCs w:val="24"/>
                <w:vertAlign w:val="subscript"/>
              </w:rPr>
              <w:t>t</w:t>
            </w:r>
            <w:r w:rsidRPr="00C6569B">
              <w:rPr>
                <w:bCs/>
                <w:color w:val="000000"/>
                <w:sz w:val="22"/>
                <w:szCs w:val="24"/>
                <w:vertAlign w:val="subscript"/>
              </w:rPr>
              <w:t>-1,</w:t>
            </w:r>
            <w:r w:rsidRPr="004E449E">
              <w:rPr>
                <w:bCs/>
                <w:i/>
                <w:color w:val="000000"/>
                <w:sz w:val="22"/>
                <w:szCs w:val="24"/>
                <w:vertAlign w:val="subscript"/>
              </w:rPr>
              <w:t>t</w:t>
            </w:r>
            <w:r w:rsidRPr="00C6569B">
              <w:rPr>
                <w:bCs/>
                <w:color w:val="000000"/>
                <w:sz w:val="22"/>
                <w:szCs w:val="24"/>
                <w:vertAlign w:val="subscript"/>
              </w:rPr>
              <w:t>-2</w:t>
            </w:r>
          </w:p>
        </w:tc>
        <w:tc>
          <w:tcPr>
            <w:tcW w:w="1230" w:type="dxa"/>
            <w:tcBorders>
              <w:left w:val="double" w:sz="4" w:space="0" w:color="auto"/>
              <w:bottom w:val="single" w:sz="4" w:space="0" w:color="auto"/>
            </w:tcBorders>
            <w:shd w:val="clear" w:color="auto" w:fill="auto"/>
          </w:tcPr>
          <w:p w14:paraId="5A47143A" w14:textId="77777777" w:rsidR="00874B96" w:rsidRPr="004E449E" w:rsidRDefault="00874B96" w:rsidP="004E449E">
            <w:pPr>
              <w:tabs>
                <w:tab w:val="decimal" w:pos="299"/>
              </w:tabs>
              <w:jc w:val="both"/>
              <w:rPr>
                <w:bCs/>
                <w:color w:val="000000"/>
                <w:sz w:val="22"/>
                <w:szCs w:val="24"/>
              </w:rPr>
            </w:pPr>
            <w:r w:rsidRPr="004E449E">
              <w:rPr>
                <w:bCs/>
                <w:color w:val="000000"/>
                <w:sz w:val="22"/>
                <w:szCs w:val="24"/>
              </w:rPr>
              <w:t>-0.227</w:t>
            </w:r>
          </w:p>
        </w:tc>
        <w:tc>
          <w:tcPr>
            <w:tcW w:w="1073" w:type="dxa"/>
            <w:tcBorders>
              <w:bottom w:val="single" w:sz="4" w:space="0" w:color="auto"/>
              <w:right w:val="double" w:sz="4" w:space="0" w:color="auto"/>
            </w:tcBorders>
            <w:shd w:val="clear" w:color="auto" w:fill="auto"/>
          </w:tcPr>
          <w:p w14:paraId="73DFDFFD" w14:textId="77777777" w:rsidR="00874B96" w:rsidRPr="004E449E" w:rsidRDefault="00874B96" w:rsidP="004E449E">
            <w:pPr>
              <w:tabs>
                <w:tab w:val="decimal" w:pos="291"/>
              </w:tabs>
              <w:jc w:val="both"/>
              <w:rPr>
                <w:bCs/>
                <w:color w:val="000000"/>
                <w:sz w:val="22"/>
                <w:szCs w:val="24"/>
              </w:rPr>
            </w:pPr>
            <w:r w:rsidRPr="004E449E">
              <w:rPr>
                <w:bCs/>
                <w:color w:val="000000"/>
                <w:sz w:val="22"/>
                <w:szCs w:val="24"/>
              </w:rPr>
              <w:t>-3.01</w:t>
            </w:r>
          </w:p>
        </w:tc>
      </w:tr>
      <w:tr w:rsidR="00874B96" w14:paraId="34399F46" w14:textId="77777777" w:rsidTr="00696BB7">
        <w:trPr>
          <w:trHeight w:val="317"/>
          <w:jc w:val="center"/>
        </w:trPr>
        <w:tc>
          <w:tcPr>
            <w:tcW w:w="3463" w:type="dxa"/>
            <w:tcBorders>
              <w:left w:val="double" w:sz="4" w:space="0" w:color="auto"/>
              <w:bottom w:val="nil"/>
              <w:right w:val="double" w:sz="4" w:space="0" w:color="auto"/>
            </w:tcBorders>
            <w:shd w:val="clear" w:color="auto" w:fill="auto"/>
          </w:tcPr>
          <w:p w14:paraId="2FDD55E3" w14:textId="77777777" w:rsidR="00874B96" w:rsidRPr="004E449E" w:rsidRDefault="00874B96" w:rsidP="004E449E">
            <w:pPr>
              <w:jc w:val="both"/>
              <w:rPr>
                <w:bCs/>
                <w:color w:val="000000"/>
                <w:sz w:val="22"/>
                <w:szCs w:val="24"/>
              </w:rPr>
            </w:pPr>
            <w:r w:rsidRPr="004E449E">
              <w:rPr>
                <w:bCs/>
                <w:i/>
                <w:color w:val="000000"/>
                <w:sz w:val="22"/>
                <w:szCs w:val="24"/>
              </w:rPr>
              <w:t>w</w:t>
            </w:r>
            <w:r w:rsidRPr="004E449E">
              <w:rPr>
                <w:bCs/>
                <w:i/>
                <w:color w:val="000000"/>
                <w:sz w:val="22"/>
                <w:szCs w:val="24"/>
                <w:vertAlign w:val="subscript"/>
              </w:rPr>
              <w:t>q</w:t>
            </w:r>
            <w:r w:rsidRPr="00C6569B">
              <w:rPr>
                <w:bCs/>
                <w:color w:val="000000"/>
                <w:sz w:val="22"/>
                <w:szCs w:val="24"/>
                <w:vertAlign w:val="subscript"/>
              </w:rPr>
              <w:t>,</w:t>
            </w:r>
            <w:r w:rsidRPr="004E449E">
              <w:rPr>
                <w:bCs/>
                <w:i/>
                <w:color w:val="000000"/>
                <w:sz w:val="22"/>
                <w:szCs w:val="24"/>
                <w:vertAlign w:val="subscript"/>
              </w:rPr>
              <w:t>t</w:t>
            </w:r>
            <w:r w:rsidRPr="00C6569B">
              <w:rPr>
                <w:bCs/>
                <w:color w:val="000000"/>
                <w:sz w:val="22"/>
                <w:szCs w:val="24"/>
                <w:vertAlign w:val="subscript"/>
              </w:rPr>
              <w:t>-1,</w:t>
            </w:r>
            <w:r w:rsidRPr="004E449E">
              <w:rPr>
                <w:bCs/>
                <w:i/>
                <w:color w:val="000000"/>
                <w:sz w:val="22"/>
                <w:szCs w:val="24"/>
                <w:vertAlign w:val="subscript"/>
              </w:rPr>
              <w:t>t</w:t>
            </w:r>
            <w:r w:rsidRPr="00C6569B">
              <w:rPr>
                <w:bCs/>
                <w:color w:val="000000"/>
                <w:sz w:val="22"/>
                <w:szCs w:val="24"/>
                <w:vertAlign w:val="subscript"/>
              </w:rPr>
              <w:t>-2</w:t>
            </w:r>
            <w:r w:rsidRPr="004E449E">
              <w:rPr>
                <w:bCs/>
                <w:i/>
                <w:color w:val="000000"/>
                <w:sz w:val="22"/>
                <w:szCs w:val="24"/>
                <w:vertAlign w:val="subscript"/>
              </w:rPr>
              <w:t xml:space="preserve"> </w:t>
            </w:r>
            <w:r w:rsidRPr="004E449E">
              <w:rPr>
                <w:bCs/>
                <w:color w:val="000000"/>
                <w:sz w:val="22"/>
                <w:szCs w:val="24"/>
              </w:rPr>
              <w:t>interacted with:</w:t>
            </w:r>
          </w:p>
        </w:tc>
        <w:tc>
          <w:tcPr>
            <w:tcW w:w="1230" w:type="dxa"/>
            <w:tcBorders>
              <w:left w:val="double" w:sz="4" w:space="0" w:color="auto"/>
              <w:bottom w:val="nil"/>
            </w:tcBorders>
            <w:shd w:val="clear" w:color="auto" w:fill="auto"/>
          </w:tcPr>
          <w:p w14:paraId="5934BC75" w14:textId="77777777" w:rsidR="00874B96" w:rsidRPr="004E449E" w:rsidRDefault="00874B96" w:rsidP="004E449E">
            <w:pPr>
              <w:tabs>
                <w:tab w:val="decimal" w:pos="299"/>
              </w:tabs>
              <w:jc w:val="both"/>
              <w:rPr>
                <w:bCs/>
                <w:color w:val="000000"/>
                <w:sz w:val="22"/>
                <w:szCs w:val="24"/>
              </w:rPr>
            </w:pPr>
          </w:p>
        </w:tc>
        <w:tc>
          <w:tcPr>
            <w:tcW w:w="1073" w:type="dxa"/>
            <w:tcBorders>
              <w:bottom w:val="nil"/>
              <w:right w:val="double" w:sz="4" w:space="0" w:color="auto"/>
            </w:tcBorders>
            <w:shd w:val="clear" w:color="auto" w:fill="auto"/>
          </w:tcPr>
          <w:p w14:paraId="572EA9EC" w14:textId="77777777" w:rsidR="00874B96" w:rsidRPr="004E449E" w:rsidRDefault="00874B96" w:rsidP="004E449E">
            <w:pPr>
              <w:tabs>
                <w:tab w:val="decimal" w:pos="291"/>
              </w:tabs>
              <w:jc w:val="both"/>
              <w:rPr>
                <w:bCs/>
                <w:color w:val="000000"/>
                <w:sz w:val="22"/>
                <w:szCs w:val="24"/>
              </w:rPr>
            </w:pPr>
          </w:p>
        </w:tc>
      </w:tr>
      <w:tr w:rsidR="00874B96" w14:paraId="03DA90FF" w14:textId="77777777" w:rsidTr="00696BB7">
        <w:trPr>
          <w:trHeight w:val="317"/>
          <w:jc w:val="center"/>
        </w:trPr>
        <w:tc>
          <w:tcPr>
            <w:tcW w:w="3463" w:type="dxa"/>
            <w:tcBorders>
              <w:top w:val="nil"/>
              <w:left w:val="double" w:sz="4" w:space="0" w:color="auto"/>
              <w:bottom w:val="nil"/>
              <w:right w:val="double" w:sz="4" w:space="0" w:color="auto"/>
            </w:tcBorders>
            <w:shd w:val="clear" w:color="auto" w:fill="auto"/>
          </w:tcPr>
          <w:p w14:paraId="21A0006C" w14:textId="77777777" w:rsidR="00874B96" w:rsidRPr="004E449E" w:rsidRDefault="001F31FD" w:rsidP="001A6D59">
            <w:pPr>
              <w:jc w:val="both"/>
              <w:rPr>
                <w:bCs/>
                <w:color w:val="000000"/>
                <w:sz w:val="22"/>
                <w:szCs w:val="24"/>
              </w:rPr>
            </w:pPr>
            <w:r>
              <w:rPr>
                <w:bCs/>
                <w:color w:val="000000"/>
                <w:sz w:val="22"/>
                <w:szCs w:val="24"/>
              </w:rPr>
              <w:t xml:space="preserve">  </w:t>
            </w:r>
            <w:r w:rsidR="00874B96" w:rsidRPr="004E449E">
              <w:rPr>
                <w:bCs/>
                <w:color w:val="000000"/>
                <w:sz w:val="22"/>
                <w:szCs w:val="24"/>
              </w:rPr>
              <w:t xml:space="preserve">Dummy </w:t>
            </w:r>
            <w:r w:rsidR="001A6D59">
              <w:rPr>
                <w:bCs/>
                <w:color w:val="000000"/>
                <w:sz w:val="22"/>
                <w:szCs w:val="24"/>
              </w:rPr>
              <w:t>non-Central Texas</w:t>
            </w:r>
          </w:p>
        </w:tc>
        <w:tc>
          <w:tcPr>
            <w:tcW w:w="1230" w:type="dxa"/>
            <w:tcBorders>
              <w:top w:val="nil"/>
              <w:left w:val="double" w:sz="4" w:space="0" w:color="auto"/>
              <w:bottom w:val="nil"/>
            </w:tcBorders>
            <w:shd w:val="clear" w:color="auto" w:fill="auto"/>
          </w:tcPr>
          <w:p w14:paraId="123CE75C" w14:textId="77777777" w:rsidR="00874B96" w:rsidRPr="004E449E" w:rsidRDefault="00874B96" w:rsidP="001A6D59">
            <w:pPr>
              <w:tabs>
                <w:tab w:val="decimal" w:pos="299"/>
              </w:tabs>
              <w:jc w:val="both"/>
              <w:rPr>
                <w:bCs/>
                <w:color w:val="000000"/>
                <w:sz w:val="22"/>
                <w:szCs w:val="24"/>
              </w:rPr>
            </w:pPr>
            <w:r w:rsidRPr="004E449E">
              <w:rPr>
                <w:bCs/>
                <w:color w:val="000000"/>
                <w:sz w:val="22"/>
                <w:szCs w:val="24"/>
              </w:rPr>
              <w:t>0.</w:t>
            </w:r>
            <w:r w:rsidR="001A6D59" w:rsidRPr="004E449E">
              <w:rPr>
                <w:bCs/>
                <w:color w:val="000000"/>
                <w:sz w:val="22"/>
                <w:szCs w:val="24"/>
              </w:rPr>
              <w:t>05</w:t>
            </w:r>
            <w:r w:rsidR="001A6D59">
              <w:rPr>
                <w:bCs/>
                <w:color w:val="000000"/>
                <w:sz w:val="22"/>
                <w:szCs w:val="24"/>
              </w:rPr>
              <w:t>7</w:t>
            </w:r>
          </w:p>
        </w:tc>
        <w:tc>
          <w:tcPr>
            <w:tcW w:w="1073" w:type="dxa"/>
            <w:tcBorders>
              <w:top w:val="nil"/>
              <w:bottom w:val="nil"/>
              <w:right w:val="double" w:sz="4" w:space="0" w:color="auto"/>
            </w:tcBorders>
            <w:shd w:val="clear" w:color="auto" w:fill="auto"/>
          </w:tcPr>
          <w:p w14:paraId="458469C5" w14:textId="77777777" w:rsidR="00874B96" w:rsidRPr="004E449E" w:rsidRDefault="00874B96" w:rsidP="001A6D59">
            <w:pPr>
              <w:tabs>
                <w:tab w:val="decimal" w:pos="291"/>
              </w:tabs>
              <w:jc w:val="both"/>
              <w:rPr>
                <w:bCs/>
                <w:color w:val="000000"/>
                <w:sz w:val="22"/>
                <w:szCs w:val="24"/>
              </w:rPr>
            </w:pPr>
            <w:r w:rsidRPr="004E449E">
              <w:rPr>
                <w:bCs/>
                <w:color w:val="000000"/>
                <w:sz w:val="22"/>
                <w:szCs w:val="24"/>
              </w:rPr>
              <w:t>1.</w:t>
            </w:r>
            <w:r w:rsidR="001A6D59">
              <w:rPr>
                <w:bCs/>
                <w:color w:val="000000"/>
                <w:sz w:val="22"/>
                <w:szCs w:val="24"/>
              </w:rPr>
              <w:t>99</w:t>
            </w:r>
          </w:p>
        </w:tc>
      </w:tr>
      <w:tr w:rsidR="00874B96" w14:paraId="4CAFB3C5" w14:textId="77777777" w:rsidTr="00696BB7">
        <w:trPr>
          <w:trHeight w:val="317"/>
          <w:jc w:val="center"/>
        </w:trPr>
        <w:tc>
          <w:tcPr>
            <w:tcW w:w="3463" w:type="dxa"/>
            <w:tcBorders>
              <w:top w:val="double" w:sz="4" w:space="0" w:color="auto"/>
              <w:left w:val="double" w:sz="4" w:space="0" w:color="auto"/>
              <w:bottom w:val="double" w:sz="4" w:space="0" w:color="auto"/>
              <w:right w:val="double" w:sz="4" w:space="0" w:color="auto"/>
            </w:tcBorders>
            <w:shd w:val="clear" w:color="auto" w:fill="auto"/>
          </w:tcPr>
          <w:p w14:paraId="72F945B9" w14:textId="77777777" w:rsidR="00874B96" w:rsidRPr="004E449E" w:rsidRDefault="00874B96" w:rsidP="004E449E">
            <w:pPr>
              <w:jc w:val="both"/>
              <w:rPr>
                <w:bCs/>
                <w:color w:val="000000"/>
                <w:sz w:val="22"/>
                <w:szCs w:val="24"/>
              </w:rPr>
            </w:pPr>
            <w:r w:rsidRPr="004E449E">
              <w:rPr>
                <w:bCs/>
                <w:color w:val="000000"/>
                <w:sz w:val="22"/>
                <w:szCs w:val="24"/>
              </w:rPr>
              <w:t>Adjusted R square</w:t>
            </w:r>
          </w:p>
        </w:tc>
        <w:tc>
          <w:tcPr>
            <w:tcW w:w="2303" w:type="dxa"/>
            <w:gridSpan w:val="2"/>
            <w:tcBorders>
              <w:top w:val="double" w:sz="4" w:space="0" w:color="auto"/>
              <w:left w:val="double" w:sz="4" w:space="0" w:color="auto"/>
              <w:bottom w:val="double" w:sz="4" w:space="0" w:color="auto"/>
              <w:right w:val="double" w:sz="4" w:space="0" w:color="auto"/>
            </w:tcBorders>
            <w:shd w:val="clear" w:color="auto" w:fill="auto"/>
          </w:tcPr>
          <w:p w14:paraId="5FF4C829" w14:textId="77777777" w:rsidR="00874B96" w:rsidRPr="004E449E" w:rsidRDefault="00874B96" w:rsidP="004E449E">
            <w:pPr>
              <w:jc w:val="center"/>
              <w:rPr>
                <w:bCs/>
                <w:color w:val="000000"/>
                <w:sz w:val="22"/>
                <w:szCs w:val="24"/>
              </w:rPr>
            </w:pPr>
            <w:r w:rsidRPr="004E449E">
              <w:rPr>
                <w:bCs/>
                <w:color w:val="000000"/>
                <w:sz w:val="22"/>
                <w:szCs w:val="24"/>
              </w:rPr>
              <w:t>0.3</w:t>
            </w:r>
            <w:r w:rsidR="001A6D59">
              <w:rPr>
                <w:bCs/>
                <w:color w:val="000000"/>
                <w:sz w:val="22"/>
                <w:szCs w:val="24"/>
              </w:rPr>
              <w:t>2</w:t>
            </w:r>
          </w:p>
        </w:tc>
      </w:tr>
    </w:tbl>
    <w:p w14:paraId="0B907578" w14:textId="77777777" w:rsidR="00501D7C" w:rsidRDefault="00501D7C" w:rsidP="00874B96">
      <w:pPr>
        <w:spacing w:before="120"/>
        <w:rPr>
          <w:bCs/>
          <w:color w:val="000000"/>
          <w:sz w:val="22"/>
          <w:szCs w:val="24"/>
        </w:rPr>
      </w:pPr>
    </w:p>
    <w:p w14:paraId="3FF73B75" w14:textId="77777777" w:rsidR="00501D7C" w:rsidRPr="00874B96" w:rsidRDefault="00501D7C" w:rsidP="00C617CA">
      <w:pPr>
        <w:spacing w:before="120"/>
        <w:rPr>
          <w:bCs/>
          <w:color w:val="000000"/>
          <w:sz w:val="22"/>
          <w:szCs w:val="24"/>
        </w:rPr>
      </w:pPr>
    </w:p>
    <w:sectPr w:rsidR="00501D7C" w:rsidRPr="00874B96" w:rsidSect="00696BB7">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C6796" w14:textId="77777777" w:rsidR="00701863" w:rsidRDefault="00701863" w:rsidP="00433031">
      <w:r>
        <w:separator/>
      </w:r>
    </w:p>
  </w:endnote>
  <w:endnote w:type="continuationSeparator" w:id="0">
    <w:p w14:paraId="7029BEBD" w14:textId="77777777" w:rsidR="00701863" w:rsidRDefault="00701863" w:rsidP="00433031">
      <w:r>
        <w:continuationSeparator/>
      </w:r>
    </w:p>
  </w:endnote>
  <w:endnote w:type="continuationNotice" w:id="1">
    <w:p w14:paraId="3F186BA7" w14:textId="77777777" w:rsidR="00701863" w:rsidRDefault="007018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Cond">
    <w:altName w:val="Helvetica LT Std Cond"/>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46772" w14:textId="77777777" w:rsidR="00C57DAA" w:rsidRPr="00F65B91" w:rsidRDefault="00C57DAA" w:rsidP="00791ECF">
    <w:pPr>
      <w:pStyle w:val="Footer"/>
      <w:jc w:val="cen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7442D" w14:textId="77777777" w:rsidR="00C57DAA" w:rsidRPr="00D64BFD" w:rsidRDefault="00C57DAA" w:rsidP="0094492D">
    <w:pPr>
      <w:pStyle w:val="Foo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B9A19" w14:textId="77777777" w:rsidR="00C57DAA" w:rsidRPr="00D64BFD" w:rsidRDefault="00C57DAA" w:rsidP="00571E33">
    <w:pPr>
      <w:pStyle w:val="Footer"/>
      <w:jc w:val="center"/>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94273" w14:textId="77777777" w:rsidR="00701863" w:rsidRDefault="00701863" w:rsidP="00433031">
      <w:r>
        <w:separator/>
      </w:r>
    </w:p>
  </w:footnote>
  <w:footnote w:type="continuationSeparator" w:id="0">
    <w:p w14:paraId="4B8FA01C" w14:textId="77777777" w:rsidR="00701863" w:rsidRDefault="00701863" w:rsidP="00433031">
      <w:r>
        <w:continuationSeparator/>
      </w:r>
    </w:p>
  </w:footnote>
  <w:footnote w:type="continuationNotice" w:id="1">
    <w:p w14:paraId="363E7181" w14:textId="77777777" w:rsidR="00701863" w:rsidRDefault="00701863"/>
  </w:footnote>
  <w:footnote w:id="2">
    <w:p w14:paraId="0AB0E08F" w14:textId="77777777" w:rsidR="00C57DAA" w:rsidRPr="00CD46E2" w:rsidRDefault="00C57DAA" w:rsidP="00CD46E2">
      <w:pPr>
        <w:rPr>
          <w:sz w:val="20"/>
        </w:rPr>
      </w:pPr>
      <w:r w:rsidRPr="000B44E3">
        <w:rPr>
          <w:rStyle w:val="FootnoteReference"/>
          <w:sz w:val="20"/>
        </w:rPr>
        <w:footnoteRef/>
      </w:r>
      <w:r w:rsidRPr="000B44E3">
        <w:rPr>
          <w:sz w:val="20"/>
        </w:rPr>
        <w:t xml:space="preserve"> </w:t>
      </w:r>
      <w:r w:rsidRPr="00D1250B">
        <w:rPr>
          <w:sz w:val="20"/>
        </w:rPr>
        <w:t xml:space="preserve">The dataset </w:t>
      </w:r>
      <w:r>
        <w:rPr>
          <w:sz w:val="20"/>
        </w:rPr>
        <w:t>is in the public domain</w:t>
      </w:r>
      <w:r w:rsidRPr="00D1250B">
        <w:rPr>
          <w:sz w:val="20"/>
        </w:rPr>
        <w:t xml:space="preserve"> and can be obtained here: </w:t>
      </w:r>
      <w:hyperlink r:id="rId1" w:history="1">
        <w:r w:rsidRPr="00D1250B">
          <w:rPr>
            <w:rStyle w:val="Hyperlink"/>
            <w:sz w:val="20"/>
          </w:rPr>
          <w:t>http://services.arcgis.com/KTcxiTD9dsQw4r7Z/arcgis/rest/services/Freight_Network/FeatureServer/0</w:t>
        </w:r>
      </w:hyperlink>
    </w:p>
  </w:footnote>
  <w:footnote w:id="3">
    <w:p w14:paraId="3EA37463" w14:textId="74026EBD" w:rsidR="00C57DAA" w:rsidRPr="00221DA3" w:rsidRDefault="00C57DAA" w:rsidP="00221DA3">
      <w:pPr>
        <w:pStyle w:val="FootnoteText"/>
        <w:jc w:val="both"/>
        <w:rPr>
          <w:lang w:val="en-US"/>
        </w:rPr>
      </w:pPr>
      <w:r w:rsidRPr="00C6569B">
        <w:rPr>
          <w:rStyle w:val="FootnoteReference"/>
          <w:rFonts w:ascii="Times New Roman" w:hAnsi="Times New Roman"/>
        </w:rPr>
        <w:footnoteRef/>
      </w:r>
      <w:r w:rsidRPr="00221DA3">
        <w:rPr>
          <w:rFonts w:ascii="Times New Roman" w:hAnsi="Times New Roman"/>
        </w:rPr>
        <w:t xml:space="preserve">As discussed in Uddin </w:t>
      </w:r>
      <w:r w:rsidRPr="0094492D">
        <w:rPr>
          <w:rFonts w:ascii="Times New Roman" w:hAnsi="Times New Roman"/>
          <w:i/>
        </w:rPr>
        <w:t>et al.</w:t>
      </w:r>
      <w:r w:rsidRPr="00221DA3">
        <w:rPr>
          <w:rFonts w:ascii="Times New Roman" w:hAnsi="Times New Roman"/>
        </w:rPr>
        <w:t xml:space="preserve"> (</w:t>
      </w:r>
      <w:r w:rsidR="008A4246" w:rsidRPr="008A4246">
        <w:rPr>
          <w:rFonts w:ascii="Times New Roman" w:hAnsi="Times New Roman"/>
          <w:i/>
          <w:lang w:val="en-US"/>
        </w:rPr>
        <w:t>11</w:t>
      </w:r>
      <w:r w:rsidRPr="00221DA3">
        <w:rPr>
          <w:rFonts w:ascii="Times New Roman" w:hAnsi="Times New Roman"/>
        </w:rPr>
        <w:t>), heavy loads (such as those involved in the transportation of wind turbine components) damage the pavement more so than less-heavy loads, and this relationship is very non-linear (with pavement damage increasing at a much faster rate than the load factor increase). At the same time, pavement damage due to a given (new) load is higher for a pavement that is already substantially damaged compared to a pavement that is less damaged. In combination, substantial rehabilitation money investments are needed to account for pavement damage due to heavy loads on roads with existing poor pavement conditions relative to on roads with existing good pavement conditions. While a systematic network-based pavement management systems analysis will be needed to optimize corrective/preventive treatments for all damaged pavements, such an analysis is outside the scope of this research. Here, we simply assume that routing heavy loads on less damaged roads is preferable to routing heavy loads on already more damaged roadways.</w:t>
      </w:r>
    </w:p>
  </w:footnote>
  <w:footnote w:id="4">
    <w:p w14:paraId="1FB4DAC6" w14:textId="7405CF2D" w:rsidR="00C57DAA" w:rsidRPr="006561D7" w:rsidRDefault="00C57DAA" w:rsidP="006561D7">
      <w:pPr>
        <w:pStyle w:val="FootnoteText"/>
        <w:jc w:val="both"/>
        <w:rPr>
          <w:rFonts w:ascii="Times New Roman" w:hAnsi="Times New Roman"/>
          <w:lang w:val="en-US"/>
        </w:rPr>
      </w:pPr>
      <w:r w:rsidRPr="000B44E3">
        <w:rPr>
          <w:rStyle w:val="FootnoteReference"/>
          <w:rFonts w:ascii="Times New Roman" w:hAnsi="Times New Roman"/>
        </w:rPr>
        <w:footnoteRef/>
      </w:r>
      <w:r w:rsidRPr="000B44E3">
        <w:rPr>
          <w:rFonts w:ascii="Times New Roman" w:hAnsi="Times New Roman"/>
        </w:rPr>
        <w:t xml:space="preserve"> </w:t>
      </w:r>
      <w:r>
        <w:rPr>
          <w:rFonts w:ascii="Times New Roman" w:hAnsi="Times New Roman"/>
          <w:lang w:val="en-US"/>
        </w:rPr>
        <w:t>Additionally,</w:t>
      </w:r>
      <w:r w:rsidRPr="00C178D5">
        <w:rPr>
          <w:rFonts w:ascii="Times New Roman" w:hAnsi="Times New Roman"/>
        </w:rPr>
        <w:t xml:space="preserve"> we translated the amount of energy to number of turbines installed. </w:t>
      </w:r>
      <w:proofErr w:type="spellStart"/>
      <w:r w:rsidR="00681502">
        <w:rPr>
          <w:rFonts w:ascii="Times New Roman" w:hAnsi="Times New Roman"/>
          <w:lang w:val="en-US"/>
        </w:rPr>
        <w:t>T</w:t>
      </w:r>
      <w:r w:rsidR="00681502" w:rsidRPr="00C178D5">
        <w:rPr>
          <w:rFonts w:ascii="Times New Roman" w:hAnsi="Times New Roman"/>
        </w:rPr>
        <w:t>he</w:t>
      </w:r>
      <w:proofErr w:type="spellEnd"/>
      <w:r w:rsidRPr="00C178D5">
        <w:rPr>
          <w:rFonts w:ascii="Times New Roman" w:hAnsi="Times New Roman"/>
        </w:rPr>
        <w:t xml:space="preserve"> most common wind turbine installed so far in Texas is the one with </w:t>
      </w:r>
      <w:r w:rsidR="002E4512">
        <w:rPr>
          <w:rFonts w:ascii="Times New Roman" w:hAnsi="Times New Roman"/>
          <w:lang w:val="en-US"/>
        </w:rPr>
        <w:t xml:space="preserve">a </w:t>
      </w:r>
      <w:r w:rsidRPr="00C178D5">
        <w:rPr>
          <w:rFonts w:ascii="Times New Roman" w:hAnsi="Times New Roman"/>
        </w:rPr>
        <w:t xml:space="preserve">capacity </w:t>
      </w:r>
      <w:r w:rsidR="002E4512">
        <w:rPr>
          <w:rFonts w:ascii="Times New Roman" w:hAnsi="Times New Roman"/>
          <w:lang w:val="en-US"/>
        </w:rPr>
        <w:t xml:space="preserve">of </w:t>
      </w:r>
      <w:r w:rsidRPr="00C178D5">
        <w:rPr>
          <w:rFonts w:ascii="Times New Roman" w:hAnsi="Times New Roman"/>
        </w:rPr>
        <w:t>1.5MW. So we divided the total amount of energy installed by 1.5 and obtained an approximation of the number of wind turbines installed</w:t>
      </w:r>
      <w:r w:rsidR="002E4512">
        <w:rPr>
          <w:rFonts w:ascii="Times New Roman" w:hAnsi="Times New Roman"/>
          <w:lang w:val="en-US"/>
        </w:rPr>
        <w:t xml:space="preserve"> (if the wind energy production in a Census block group was predicted to be lower than 1.5 MW, t</w:t>
      </w:r>
      <w:r w:rsidR="00CF49D7">
        <w:rPr>
          <w:rFonts w:ascii="Times New Roman" w:hAnsi="Times New Roman"/>
          <w:lang w:val="en-US"/>
        </w:rPr>
        <w:t xml:space="preserve">he number of turbines in that Census block group was set to </w:t>
      </w:r>
      <w:r w:rsidR="002E4512">
        <w:rPr>
          <w:rFonts w:ascii="Times New Roman" w:hAnsi="Times New Roman"/>
          <w:lang w:val="en-US"/>
        </w:rPr>
        <w:t>zero; this was the case for all urban area Census block groups for all the years)</w:t>
      </w:r>
      <w:r w:rsidRPr="00C178D5">
        <w:rPr>
          <w:rFonts w:ascii="Times New Roman" w:hAnsi="Times New Roman"/>
        </w:rPr>
        <w:t>. The map with the number of turbines installed can be accessed here:</w:t>
      </w:r>
      <w:r>
        <w:rPr>
          <w:rFonts w:ascii="Times New Roman" w:hAnsi="Times New Roman"/>
          <w:lang w:val="en-US"/>
        </w:rPr>
        <w:t xml:space="preserve"> </w:t>
      </w:r>
      <w:hyperlink r:id="rId2" w:history="1">
        <w:r w:rsidR="002E4512" w:rsidRPr="00637D13">
          <w:rPr>
            <w:rStyle w:val="Hyperlink"/>
            <w:rFonts w:ascii="Times New Roman" w:hAnsi="Times New Roman"/>
          </w:rPr>
          <w:t>http://arcg.is/1jUvRzW</w:t>
        </w:r>
      </w:hyperlink>
      <w:r w:rsidR="002E4512" w:rsidRPr="002E4512">
        <w:rPr>
          <w:rFonts w:ascii="Times New Roman" w:hAnsi="Times New Roman"/>
          <w:lang w:val="en-US"/>
        </w:rPr>
        <w:t>.</w:t>
      </w:r>
      <w:r w:rsidR="002E4512">
        <w:rPr>
          <w:rFonts w:ascii="Times New Roman" w:hAnsi="Times New Roman"/>
          <w:lang w:val="en-US"/>
        </w:rPr>
        <w:t xml:space="preserve"> Additionally, we also computed the space used for wind turbine facilities as a percentage </w:t>
      </w:r>
      <w:r w:rsidR="006748AA">
        <w:rPr>
          <w:rFonts w:ascii="Times New Roman" w:hAnsi="Times New Roman"/>
          <w:lang w:val="en-US"/>
        </w:rPr>
        <w:t>of zone</w:t>
      </w:r>
      <w:r w:rsidR="002E4512">
        <w:rPr>
          <w:rFonts w:ascii="Times New Roman" w:hAnsi="Times New Roman"/>
          <w:lang w:val="en-US"/>
        </w:rPr>
        <w:t xml:space="preserve"> area, using a space need of </w:t>
      </w:r>
      <w:r w:rsidRPr="00C178D5">
        <w:rPr>
          <w:rFonts w:ascii="Times New Roman" w:hAnsi="Times New Roman"/>
        </w:rPr>
        <w:t xml:space="preserve">5 hectares </w:t>
      </w:r>
      <w:r w:rsidR="002E4512">
        <w:rPr>
          <w:rFonts w:ascii="Times New Roman" w:hAnsi="Times New Roman"/>
          <w:lang w:val="en-US"/>
        </w:rPr>
        <w:t xml:space="preserve">per turbine installed. </w:t>
      </w:r>
      <w:r w:rsidRPr="00C178D5">
        <w:rPr>
          <w:rFonts w:ascii="Times New Roman" w:hAnsi="Times New Roman"/>
        </w:rPr>
        <w:t xml:space="preserve">The map of percentage of land used for wind farms can be </w:t>
      </w:r>
      <w:r>
        <w:rPr>
          <w:rFonts w:ascii="Times New Roman" w:hAnsi="Times New Roman"/>
          <w:lang w:val="en-US"/>
        </w:rPr>
        <w:t>obtained</w:t>
      </w:r>
      <w:r w:rsidRPr="00C178D5">
        <w:rPr>
          <w:rFonts w:ascii="Times New Roman" w:hAnsi="Times New Roman"/>
        </w:rPr>
        <w:t xml:space="preserve"> here:</w:t>
      </w:r>
      <w:r>
        <w:rPr>
          <w:rFonts w:ascii="Times New Roman" w:hAnsi="Times New Roman"/>
          <w:lang w:val="en-US"/>
        </w:rPr>
        <w:t xml:space="preserve"> </w:t>
      </w:r>
      <w:hyperlink r:id="rId3" w:history="1">
        <w:r w:rsidRPr="00731BA4">
          <w:rPr>
            <w:rStyle w:val="Hyperlink"/>
            <w:rFonts w:ascii="Times New Roman" w:hAnsi="Times New Roman"/>
          </w:rPr>
          <w:t>http://arcg.is/1OnpehS</w:t>
        </w:r>
      </w:hyperlink>
      <w:r>
        <w:rPr>
          <w:rFonts w:ascii="Times New Roman" w:hAnsi="Times New Roman"/>
          <w:lang w:val="en-US"/>
        </w:rPr>
        <w:t>.</w:t>
      </w:r>
    </w:p>
  </w:footnote>
  <w:footnote w:id="5">
    <w:p w14:paraId="7839AB7A" w14:textId="1DE9E783" w:rsidR="00C57DAA" w:rsidRPr="00A14DD1" w:rsidRDefault="00C57DAA" w:rsidP="00A14DD1">
      <w:pPr>
        <w:pStyle w:val="BalloonText"/>
        <w:jc w:val="both"/>
        <w:rPr>
          <w:rFonts w:ascii="Times New Roman" w:hAnsi="Times New Roman"/>
          <w:sz w:val="20"/>
          <w:lang w:val="en-US"/>
        </w:rPr>
      </w:pPr>
      <w:r w:rsidRPr="00A14DD1">
        <w:rPr>
          <w:rStyle w:val="FootnoteReference"/>
          <w:rFonts w:ascii="Times New Roman" w:hAnsi="Times New Roman"/>
          <w:sz w:val="20"/>
        </w:rPr>
        <w:footnoteRef/>
      </w:r>
      <w:proofErr w:type="gramStart"/>
      <w:r w:rsidRPr="00A14DD1">
        <w:rPr>
          <w:rFonts w:ascii="Times New Roman" w:eastAsia="Times New Roman" w:hAnsi="Times New Roman"/>
          <w:sz w:val="20"/>
          <w:vertAlign w:val="superscript"/>
          <w:lang w:val="en-US"/>
        </w:rPr>
        <w:t>,5</w:t>
      </w:r>
      <w:proofErr w:type="gramEnd"/>
      <w:r w:rsidR="006748AA">
        <w:rPr>
          <w:rFonts w:ascii="Times New Roman" w:eastAsia="Times New Roman" w:hAnsi="Times New Roman"/>
          <w:sz w:val="20"/>
          <w:vertAlign w:val="superscript"/>
          <w:lang w:val="en-US"/>
        </w:rPr>
        <w:t xml:space="preserve"> </w:t>
      </w:r>
      <w:r w:rsidRPr="00A14DD1">
        <w:rPr>
          <w:rFonts w:ascii="Times New Roman" w:eastAsia="Times New Roman" w:hAnsi="Times New Roman"/>
          <w:sz w:val="20"/>
        </w:rPr>
        <w:t>Although the number of wind turbines transported through Texas shows an increase each year, the relative percentages of wind energy production across states, and the shares of route origins for shipping turbine</w:t>
      </w:r>
      <w:r w:rsidRPr="00A14DD1">
        <w:rPr>
          <w:rFonts w:ascii="Times New Roman" w:eastAsia="Times New Roman" w:hAnsi="Times New Roman"/>
          <w:sz w:val="20"/>
          <w:lang w:val="en-US"/>
        </w:rPr>
        <w:t>s</w:t>
      </w:r>
      <w:r w:rsidRPr="00A14DD1">
        <w:rPr>
          <w:rFonts w:ascii="Times New Roman" w:eastAsia="Times New Roman" w:hAnsi="Times New Roman"/>
          <w:sz w:val="20"/>
        </w:rPr>
        <w:t>, showed reasonable stability over time</w:t>
      </w:r>
      <w:r w:rsidRPr="00A14DD1">
        <w:rPr>
          <w:rFonts w:ascii="Times New Roman" w:eastAsia="Times New Roman" w:hAnsi="Times New Roman"/>
          <w:sz w:val="20"/>
          <w:lang w:val="en-US"/>
        </w:rPr>
        <w:t xml:space="preserve"> </w:t>
      </w:r>
      <w:r>
        <w:rPr>
          <w:rFonts w:ascii="Times New Roman" w:eastAsia="Times New Roman" w:hAnsi="Times New Roman"/>
          <w:sz w:val="20"/>
          <w:lang w:val="en-US"/>
        </w:rPr>
        <w:t>(</w:t>
      </w:r>
      <w:r w:rsidRPr="00A14DD1">
        <w:rPr>
          <w:rFonts w:ascii="Times New Roman" w:eastAsia="Times New Roman" w:hAnsi="Times New Roman"/>
          <w:sz w:val="20"/>
          <w:lang w:val="en-US"/>
        </w:rPr>
        <w:t xml:space="preserve">based on </w:t>
      </w:r>
      <w:r w:rsidRPr="00A14DD1">
        <w:rPr>
          <w:rFonts w:ascii="Times New Roman" w:eastAsia="Times New Roman" w:hAnsi="Times New Roman"/>
          <w:sz w:val="20"/>
        </w:rPr>
        <w:t xml:space="preserve">the dataset listing the permits issued by </w:t>
      </w:r>
      <w:proofErr w:type="spellStart"/>
      <w:r w:rsidRPr="00A14DD1">
        <w:rPr>
          <w:rFonts w:ascii="Times New Roman" w:eastAsia="Times New Roman" w:hAnsi="Times New Roman"/>
          <w:sz w:val="20"/>
        </w:rPr>
        <w:t>TxPROS</w:t>
      </w:r>
      <w:proofErr w:type="spellEnd"/>
      <w:r w:rsidRPr="00A14DD1">
        <w:rPr>
          <w:rFonts w:ascii="Times New Roman" w:eastAsia="Times New Roman" w:hAnsi="Times New Roman"/>
          <w:sz w:val="20"/>
        </w:rPr>
        <w:t xml:space="preserve"> from 2007 to 2009</w:t>
      </w:r>
      <w:r>
        <w:rPr>
          <w:rFonts w:ascii="Times New Roman" w:eastAsia="Times New Roman" w:hAnsi="Times New Roman"/>
          <w:sz w:val="20"/>
        </w:rPr>
        <w:t>) and formed the basis for the percentages and shares used here</w:t>
      </w:r>
      <w:r w:rsidRPr="00A14DD1">
        <w:rPr>
          <w:rFonts w:ascii="Times New Roman" w:eastAsia="Times New Roman" w:hAnsi="Times New Roman"/>
          <w:sz w:val="20"/>
        </w:rPr>
        <w:t xml:space="preserve">. </w:t>
      </w:r>
      <w:r w:rsidRPr="00A14DD1">
        <w:rPr>
          <w:rFonts w:ascii="Times New Roman" w:eastAsia="Times New Roman" w:hAnsi="Times New Roman"/>
          <w:sz w:val="20"/>
          <w:lang w:val="en-US"/>
        </w:rPr>
        <w:t>However, the</w:t>
      </w:r>
      <w:r>
        <w:rPr>
          <w:rFonts w:ascii="Times New Roman" w:eastAsia="Times New Roman" w:hAnsi="Times New Roman"/>
          <w:sz w:val="20"/>
          <w:lang w:val="en-US"/>
        </w:rPr>
        <w:t>se</w:t>
      </w:r>
      <w:r w:rsidRPr="00A14DD1">
        <w:rPr>
          <w:rFonts w:ascii="Times New Roman" w:eastAsia="Times New Roman" w:hAnsi="Times New Roman"/>
          <w:sz w:val="20"/>
          <w:lang w:val="en-US"/>
        </w:rPr>
        <w:t xml:space="preserve"> </w:t>
      </w:r>
      <w:r>
        <w:rPr>
          <w:rFonts w:ascii="Times New Roman" w:eastAsia="Times New Roman" w:hAnsi="Times New Roman"/>
          <w:sz w:val="20"/>
        </w:rPr>
        <w:t xml:space="preserve">percentages/shares </w:t>
      </w:r>
      <w:r w:rsidRPr="00A14DD1">
        <w:rPr>
          <w:rFonts w:ascii="Times New Roman" w:eastAsia="Times New Roman" w:hAnsi="Times New Roman"/>
          <w:sz w:val="20"/>
        </w:rPr>
        <w:t>may be modified as appropriate, if more detailed data becomes available to refine the estimates.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B2514" w14:textId="77777777" w:rsidR="006A54B6" w:rsidRDefault="006A54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B5931" w14:textId="77777777" w:rsidR="00C57DAA" w:rsidRPr="0067454F" w:rsidRDefault="00C57DAA" w:rsidP="00791ECF">
    <w:pPr>
      <w:pStyle w:val="Header"/>
      <w:rPr>
        <w:rFonts w:ascii="Times New Roman" w:hAnsi="Times New Roman"/>
        <w:sz w:val="22"/>
        <w:szCs w:val="22"/>
        <w:lang w:val="en-US"/>
      </w:rPr>
    </w:pPr>
    <w:r w:rsidRPr="0067454F">
      <w:rPr>
        <w:rFonts w:ascii="Times New Roman" w:hAnsi="Times New Roman"/>
        <w:sz w:val="22"/>
        <w:szCs w:val="22"/>
        <w:lang w:val="en-US"/>
      </w:rPr>
      <w:t>Astroza, Patil, Smith, Bhat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2E5BB" w14:textId="341691B2" w:rsidR="00C57DAA" w:rsidRPr="0094492D" w:rsidRDefault="00C57DAA" w:rsidP="00791ECF">
    <w:pPr>
      <w:pStyle w:val="Header"/>
      <w:rPr>
        <w:rFonts w:ascii="Times New Roman" w:hAnsi="Times New Roman"/>
        <w:sz w:val="22"/>
        <w:lang w:val="en-US"/>
      </w:rPr>
    </w:pPr>
    <w:r w:rsidRPr="0067454F">
      <w:rPr>
        <w:rFonts w:ascii="Times New Roman" w:hAnsi="Times New Roman"/>
        <w:sz w:val="22"/>
        <w:szCs w:val="22"/>
        <w:lang w:val="en-US"/>
      </w:rPr>
      <w:t>Astroza, Patil, Smith, Bhat</w:t>
    </w:r>
    <w:r>
      <w:rPr>
        <w:rFonts w:ascii="Times New Roman" w:hAnsi="Times New Roman"/>
        <w:sz w:val="22"/>
        <w:szCs w:val="22"/>
        <w:lang w:val="en-US"/>
      </w:rPr>
      <w:tab/>
    </w:r>
    <w:r>
      <w:rPr>
        <w:rFonts w:ascii="Times New Roman" w:hAnsi="Times New Roman"/>
        <w:sz w:val="22"/>
        <w:szCs w:val="22"/>
        <w:lang w:val="en-US"/>
      </w:rPr>
      <w:tab/>
    </w:r>
    <w:r w:rsidRPr="0067454F">
      <w:rPr>
        <w:rFonts w:ascii="Times New Roman" w:hAnsi="Times New Roman"/>
        <w:sz w:val="22"/>
        <w:szCs w:val="22"/>
        <w:lang w:val="en-US"/>
      </w:rPr>
      <w:fldChar w:fldCharType="begin"/>
    </w:r>
    <w:r w:rsidRPr="0067454F">
      <w:rPr>
        <w:rFonts w:ascii="Times New Roman" w:hAnsi="Times New Roman"/>
        <w:sz w:val="22"/>
        <w:szCs w:val="22"/>
        <w:lang w:val="en-US"/>
      </w:rPr>
      <w:instrText xml:space="preserve"> PAGE   \* MERGEFORMAT </w:instrText>
    </w:r>
    <w:r w:rsidRPr="0067454F">
      <w:rPr>
        <w:rFonts w:ascii="Times New Roman" w:hAnsi="Times New Roman"/>
        <w:sz w:val="22"/>
        <w:szCs w:val="22"/>
        <w:lang w:val="en-US"/>
      </w:rPr>
      <w:fldChar w:fldCharType="separate"/>
    </w:r>
    <w:r w:rsidR="00EF05E3">
      <w:rPr>
        <w:rFonts w:ascii="Times New Roman" w:hAnsi="Times New Roman"/>
        <w:noProof/>
        <w:sz w:val="22"/>
        <w:szCs w:val="22"/>
        <w:lang w:val="en-US"/>
      </w:rPr>
      <w:t>12</w:t>
    </w:r>
    <w:r w:rsidRPr="0067454F">
      <w:rPr>
        <w:rFonts w:ascii="Times New Roman" w:hAnsi="Times New Roman"/>
        <w:noProof/>
        <w:sz w:val="22"/>
        <w:szCs w:val="22"/>
        <w:lang w:val="en-US"/>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209E6" w14:textId="460CCCC6" w:rsidR="00C57DAA" w:rsidRPr="0067454F" w:rsidRDefault="00C57DAA" w:rsidP="00696BB7">
    <w:pPr>
      <w:pStyle w:val="Header"/>
      <w:tabs>
        <w:tab w:val="clear" w:pos="9360"/>
        <w:tab w:val="right" w:pos="13500"/>
      </w:tabs>
      <w:ind w:left="540"/>
      <w:rPr>
        <w:rFonts w:ascii="Times New Roman" w:hAnsi="Times New Roman"/>
        <w:sz w:val="22"/>
        <w:szCs w:val="22"/>
        <w:lang w:val="en-US"/>
      </w:rPr>
    </w:pPr>
    <w:r w:rsidRPr="0067454F">
      <w:rPr>
        <w:rFonts w:ascii="Times New Roman" w:hAnsi="Times New Roman"/>
        <w:sz w:val="22"/>
        <w:szCs w:val="22"/>
        <w:lang w:val="en-US"/>
      </w:rPr>
      <w:t>Astroza, Patil, Smith, Bhat</w:t>
    </w:r>
    <w:r>
      <w:rPr>
        <w:rFonts w:ascii="Times New Roman" w:hAnsi="Times New Roman"/>
        <w:sz w:val="22"/>
        <w:szCs w:val="22"/>
        <w:lang w:val="en-US"/>
      </w:rPr>
      <w:tab/>
    </w:r>
    <w:r>
      <w:rPr>
        <w:rFonts w:ascii="Times New Roman" w:hAnsi="Times New Roman"/>
        <w:sz w:val="22"/>
        <w:szCs w:val="22"/>
        <w:lang w:val="en-US"/>
      </w:rPr>
      <w:tab/>
    </w:r>
    <w:r w:rsidRPr="0067454F">
      <w:rPr>
        <w:rFonts w:ascii="Times New Roman" w:hAnsi="Times New Roman"/>
        <w:sz w:val="22"/>
        <w:szCs w:val="22"/>
        <w:lang w:val="en-US"/>
      </w:rPr>
      <w:fldChar w:fldCharType="begin"/>
    </w:r>
    <w:r w:rsidRPr="0067454F">
      <w:rPr>
        <w:rFonts w:ascii="Times New Roman" w:hAnsi="Times New Roman"/>
        <w:sz w:val="22"/>
        <w:szCs w:val="22"/>
        <w:lang w:val="en-US"/>
      </w:rPr>
      <w:instrText xml:space="preserve"> PAGE   \* MERGEFORMAT </w:instrText>
    </w:r>
    <w:r w:rsidRPr="0067454F">
      <w:rPr>
        <w:rFonts w:ascii="Times New Roman" w:hAnsi="Times New Roman"/>
        <w:sz w:val="22"/>
        <w:szCs w:val="22"/>
        <w:lang w:val="en-US"/>
      </w:rPr>
      <w:fldChar w:fldCharType="separate"/>
    </w:r>
    <w:r w:rsidR="00EF05E3">
      <w:rPr>
        <w:rFonts w:ascii="Times New Roman" w:hAnsi="Times New Roman"/>
        <w:noProof/>
        <w:sz w:val="22"/>
        <w:szCs w:val="22"/>
        <w:lang w:val="en-US"/>
      </w:rPr>
      <w:t>13</w:t>
    </w:r>
    <w:r w:rsidRPr="0067454F">
      <w:rPr>
        <w:rFonts w:ascii="Times New Roman" w:hAnsi="Times New Roman"/>
        <w:noProof/>
        <w:sz w:val="22"/>
        <w:szCs w:val="22"/>
        <w:lang w:val="en-US"/>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299CA" w14:textId="70E8C9E4" w:rsidR="00C57DAA" w:rsidRPr="0067454F" w:rsidRDefault="00C57DAA" w:rsidP="00791ECF">
    <w:pPr>
      <w:pStyle w:val="Header"/>
      <w:rPr>
        <w:rFonts w:ascii="Times New Roman" w:hAnsi="Times New Roman"/>
        <w:sz w:val="22"/>
        <w:szCs w:val="22"/>
        <w:lang w:val="en-US"/>
      </w:rPr>
    </w:pPr>
    <w:r w:rsidRPr="0067454F">
      <w:rPr>
        <w:rFonts w:ascii="Times New Roman" w:hAnsi="Times New Roman"/>
        <w:sz w:val="22"/>
        <w:szCs w:val="22"/>
        <w:lang w:val="en-US"/>
      </w:rPr>
      <w:t>Astroza, Patil, Smith, Bhat</w:t>
    </w:r>
    <w:r>
      <w:rPr>
        <w:rFonts w:ascii="Times New Roman" w:hAnsi="Times New Roman"/>
        <w:sz w:val="22"/>
        <w:szCs w:val="22"/>
        <w:lang w:val="en-US"/>
      </w:rPr>
      <w:tab/>
    </w:r>
    <w:r>
      <w:rPr>
        <w:rFonts w:ascii="Times New Roman" w:hAnsi="Times New Roman"/>
        <w:sz w:val="22"/>
        <w:szCs w:val="22"/>
        <w:lang w:val="en-US"/>
      </w:rPr>
      <w:tab/>
    </w:r>
    <w:r w:rsidRPr="0067454F">
      <w:rPr>
        <w:rFonts w:ascii="Times New Roman" w:hAnsi="Times New Roman"/>
        <w:sz w:val="22"/>
        <w:szCs w:val="22"/>
        <w:lang w:val="en-US"/>
      </w:rPr>
      <w:fldChar w:fldCharType="begin"/>
    </w:r>
    <w:r w:rsidRPr="0067454F">
      <w:rPr>
        <w:rFonts w:ascii="Times New Roman" w:hAnsi="Times New Roman"/>
        <w:sz w:val="22"/>
        <w:szCs w:val="22"/>
        <w:lang w:val="en-US"/>
      </w:rPr>
      <w:instrText xml:space="preserve"> PAGE   \* MERGEFORMAT </w:instrText>
    </w:r>
    <w:r w:rsidRPr="0067454F">
      <w:rPr>
        <w:rFonts w:ascii="Times New Roman" w:hAnsi="Times New Roman"/>
        <w:sz w:val="22"/>
        <w:szCs w:val="22"/>
        <w:lang w:val="en-US"/>
      </w:rPr>
      <w:fldChar w:fldCharType="separate"/>
    </w:r>
    <w:r w:rsidR="00EF05E3">
      <w:rPr>
        <w:rFonts w:ascii="Times New Roman" w:hAnsi="Times New Roman"/>
        <w:noProof/>
        <w:sz w:val="22"/>
        <w:szCs w:val="22"/>
        <w:lang w:val="en-US"/>
      </w:rPr>
      <w:t>14</w:t>
    </w:r>
    <w:r w:rsidRPr="0067454F">
      <w:rPr>
        <w:rFonts w:ascii="Times New Roman" w:hAnsi="Times New Roman"/>
        <w:noProof/>
        <w:sz w:val="22"/>
        <w:szCs w:val="22"/>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B25E2"/>
    <w:multiLevelType w:val="hybridMultilevel"/>
    <w:tmpl w:val="174C4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71BDD"/>
    <w:multiLevelType w:val="hybridMultilevel"/>
    <w:tmpl w:val="6B6EE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C5A6FB9"/>
    <w:multiLevelType w:val="multilevel"/>
    <w:tmpl w:val="B7EC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F2D18"/>
    <w:multiLevelType w:val="multilevel"/>
    <w:tmpl w:val="0BC847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A36DBE"/>
    <w:multiLevelType w:val="hybridMultilevel"/>
    <w:tmpl w:val="ABAED4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1E90799"/>
    <w:multiLevelType w:val="multilevel"/>
    <w:tmpl w:val="5F06DE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A62BC9"/>
    <w:multiLevelType w:val="hybridMultilevel"/>
    <w:tmpl w:val="7C289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E18AE"/>
    <w:multiLevelType w:val="multilevel"/>
    <w:tmpl w:val="163EB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242D8F"/>
    <w:multiLevelType w:val="hybridMultilevel"/>
    <w:tmpl w:val="40F2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BF4A55"/>
    <w:multiLevelType w:val="hybridMultilevel"/>
    <w:tmpl w:val="B2DC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A31C7"/>
    <w:multiLevelType w:val="hybridMultilevel"/>
    <w:tmpl w:val="70642FF8"/>
    <w:lvl w:ilvl="0" w:tplc="172A05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A2DE2"/>
    <w:multiLevelType w:val="hybridMultilevel"/>
    <w:tmpl w:val="476EA9C8"/>
    <w:lvl w:ilvl="0" w:tplc="663EB50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72334"/>
    <w:multiLevelType w:val="hybridMultilevel"/>
    <w:tmpl w:val="68FE50D0"/>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17C2684"/>
    <w:multiLevelType w:val="multilevel"/>
    <w:tmpl w:val="9AD2E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D4B21FD"/>
    <w:multiLevelType w:val="hybridMultilevel"/>
    <w:tmpl w:val="390E51CA"/>
    <w:lvl w:ilvl="0" w:tplc="04090003">
      <w:start w:val="1"/>
      <w:numFmt w:val="bullet"/>
      <w:lvlText w:val="o"/>
      <w:lvlJc w:val="left"/>
      <w:pPr>
        <w:ind w:left="2280" w:hanging="360"/>
      </w:pPr>
      <w:rPr>
        <w:rFonts w:ascii="Courier New" w:hAnsi="Courier New" w:cs="Courier New"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6" w15:restartNumberingAfterBreak="0">
    <w:nsid w:val="7942324C"/>
    <w:multiLevelType w:val="hybridMultilevel"/>
    <w:tmpl w:val="D534BCE6"/>
    <w:lvl w:ilvl="0" w:tplc="077C6778">
      <w:numFmt w:val="bullet"/>
      <w:lvlText w:val=""/>
      <w:lvlJc w:val="left"/>
      <w:pPr>
        <w:ind w:left="2055" w:hanging="360"/>
      </w:pPr>
      <w:rPr>
        <w:rFonts w:ascii="Symbol" w:eastAsia="Calibri" w:hAnsi="Symbol" w:cs="Times New Roma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num w:numId="1">
    <w:abstractNumId w:val="13"/>
  </w:num>
  <w:num w:numId="2">
    <w:abstractNumId w:val="3"/>
  </w:num>
  <w:num w:numId="3">
    <w:abstractNumId w:val="4"/>
  </w:num>
  <w:num w:numId="4">
    <w:abstractNumId w:val="6"/>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6"/>
  </w:num>
  <w:num w:numId="9">
    <w:abstractNumId w:val="14"/>
  </w:num>
  <w:num w:numId="10">
    <w:abstractNumId w:val="5"/>
  </w:num>
  <w:num w:numId="11">
    <w:abstractNumId w:val="7"/>
  </w:num>
  <w:num w:numId="12">
    <w:abstractNumId w:val="2"/>
  </w:num>
  <w:num w:numId="13">
    <w:abstractNumId w:val="9"/>
  </w:num>
  <w:num w:numId="14">
    <w:abstractNumId w:val="10"/>
  </w:num>
  <w:num w:numId="15">
    <w:abstractNumId w:val="12"/>
  </w:num>
  <w:num w:numId="16">
    <w:abstractNumId w:val="0"/>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4097">
      <o:colormru v:ext="edit" colors="#f3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816"/>
    <w:rsid w:val="00000ACB"/>
    <w:rsid w:val="0000119C"/>
    <w:rsid w:val="000024F7"/>
    <w:rsid w:val="000034C1"/>
    <w:rsid w:val="0000420F"/>
    <w:rsid w:val="00004301"/>
    <w:rsid w:val="00004FBD"/>
    <w:rsid w:val="00005B0D"/>
    <w:rsid w:val="00005FDE"/>
    <w:rsid w:val="0000612C"/>
    <w:rsid w:val="0000631F"/>
    <w:rsid w:val="0000637C"/>
    <w:rsid w:val="000064C5"/>
    <w:rsid w:val="00007588"/>
    <w:rsid w:val="000078E1"/>
    <w:rsid w:val="0001034C"/>
    <w:rsid w:val="00010363"/>
    <w:rsid w:val="00010538"/>
    <w:rsid w:val="000116E6"/>
    <w:rsid w:val="0001189A"/>
    <w:rsid w:val="000118D1"/>
    <w:rsid w:val="00011B37"/>
    <w:rsid w:val="00011B90"/>
    <w:rsid w:val="00011DE8"/>
    <w:rsid w:val="00012205"/>
    <w:rsid w:val="0001266F"/>
    <w:rsid w:val="0001302B"/>
    <w:rsid w:val="0001325C"/>
    <w:rsid w:val="000153DA"/>
    <w:rsid w:val="000156D6"/>
    <w:rsid w:val="000158D3"/>
    <w:rsid w:val="00016CFC"/>
    <w:rsid w:val="0002088C"/>
    <w:rsid w:val="00020CEA"/>
    <w:rsid w:val="00021A5B"/>
    <w:rsid w:val="00021A77"/>
    <w:rsid w:val="00021BCC"/>
    <w:rsid w:val="000224A3"/>
    <w:rsid w:val="00022A3E"/>
    <w:rsid w:val="00023906"/>
    <w:rsid w:val="000242E7"/>
    <w:rsid w:val="0002446D"/>
    <w:rsid w:val="000245A2"/>
    <w:rsid w:val="0002462B"/>
    <w:rsid w:val="000247BC"/>
    <w:rsid w:val="00025400"/>
    <w:rsid w:val="0002694B"/>
    <w:rsid w:val="00026E04"/>
    <w:rsid w:val="0002720F"/>
    <w:rsid w:val="00027606"/>
    <w:rsid w:val="00027D23"/>
    <w:rsid w:val="0003003B"/>
    <w:rsid w:val="000301F7"/>
    <w:rsid w:val="00030681"/>
    <w:rsid w:val="00030FB7"/>
    <w:rsid w:val="00031AC4"/>
    <w:rsid w:val="000348FC"/>
    <w:rsid w:val="00035052"/>
    <w:rsid w:val="00035144"/>
    <w:rsid w:val="000351E6"/>
    <w:rsid w:val="000356D9"/>
    <w:rsid w:val="0003653E"/>
    <w:rsid w:val="00036AF4"/>
    <w:rsid w:val="000378A8"/>
    <w:rsid w:val="00037E15"/>
    <w:rsid w:val="00040878"/>
    <w:rsid w:val="00040EC9"/>
    <w:rsid w:val="0004176D"/>
    <w:rsid w:val="00041C02"/>
    <w:rsid w:val="000421D2"/>
    <w:rsid w:val="000422A1"/>
    <w:rsid w:val="00042592"/>
    <w:rsid w:val="00042B4F"/>
    <w:rsid w:val="00042FF6"/>
    <w:rsid w:val="0004383B"/>
    <w:rsid w:val="00044452"/>
    <w:rsid w:val="0004458C"/>
    <w:rsid w:val="00045F71"/>
    <w:rsid w:val="000464C4"/>
    <w:rsid w:val="00046582"/>
    <w:rsid w:val="00047BAE"/>
    <w:rsid w:val="00047BC3"/>
    <w:rsid w:val="00047C59"/>
    <w:rsid w:val="00050217"/>
    <w:rsid w:val="00050C38"/>
    <w:rsid w:val="00051679"/>
    <w:rsid w:val="00051C82"/>
    <w:rsid w:val="00052832"/>
    <w:rsid w:val="00052E15"/>
    <w:rsid w:val="00053010"/>
    <w:rsid w:val="00053B5C"/>
    <w:rsid w:val="0005491F"/>
    <w:rsid w:val="00054E3C"/>
    <w:rsid w:val="00055127"/>
    <w:rsid w:val="000554F0"/>
    <w:rsid w:val="00056305"/>
    <w:rsid w:val="00056620"/>
    <w:rsid w:val="00057492"/>
    <w:rsid w:val="000578C7"/>
    <w:rsid w:val="0006025C"/>
    <w:rsid w:val="0006084B"/>
    <w:rsid w:val="00060931"/>
    <w:rsid w:val="00061239"/>
    <w:rsid w:val="00062003"/>
    <w:rsid w:val="0006409E"/>
    <w:rsid w:val="00064DAB"/>
    <w:rsid w:val="00065316"/>
    <w:rsid w:val="000703F3"/>
    <w:rsid w:val="00070571"/>
    <w:rsid w:val="0007191D"/>
    <w:rsid w:val="00072632"/>
    <w:rsid w:val="00073288"/>
    <w:rsid w:val="000740AE"/>
    <w:rsid w:val="000742E6"/>
    <w:rsid w:val="0007524E"/>
    <w:rsid w:val="00075319"/>
    <w:rsid w:val="0007556B"/>
    <w:rsid w:val="00075847"/>
    <w:rsid w:val="00075A14"/>
    <w:rsid w:val="00075BCA"/>
    <w:rsid w:val="00080C82"/>
    <w:rsid w:val="000814C9"/>
    <w:rsid w:val="0008169B"/>
    <w:rsid w:val="0008292A"/>
    <w:rsid w:val="000833BD"/>
    <w:rsid w:val="00083B1D"/>
    <w:rsid w:val="00083DDF"/>
    <w:rsid w:val="00083F72"/>
    <w:rsid w:val="0008530F"/>
    <w:rsid w:val="00085B64"/>
    <w:rsid w:val="00086186"/>
    <w:rsid w:val="00086686"/>
    <w:rsid w:val="000866BF"/>
    <w:rsid w:val="000869A8"/>
    <w:rsid w:val="00086F61"/>
    <w:rsid w:val="00087A39"/>
    <w:rsid w:val="000905A3"/>
    <w:rsid w:val="0009078F"/>
    <w:rsid w:val="00090C16"/>
    <w:rsid w:val="00090CAC"/>
    <w:rsid w:val="000910B1"/>
    <w:rsid w:val="00091D26"/>
    <w:rsid w:val="00093B62"/>
    <w:rsid w:val="0009413D"/>
    <w:rsid w:val="0009427E"/>
    <w:rsid w:val="00094327"/>
    <w:rsid w:val="0009509F"/>
    <w:rsid w:val="00095FA3"/>
    <w:rsid w:val="0009639B"/>
    <w:rsid w:val="00096827"/>
    <w:rsid w:val="00097754"/>
    <w:rsid w:val="00097CD7"/>
    <w:rsid w:val="00097E73"/>
    <w:rsid w:val="000A0509"/>
    <w:rsid w:val="000A052C"/>
    <w:rsid w:val="000A0C0A"/>
    <w:rsid w:val="000A1C99"/>
    <w:rsid w:val="000A224A"/>
    <w:rsid w:val="000A2FD5"/>
    <w:rsid w:val="000A2FE4"/>
    <w:rsid w:val="000A3623"/>
    <w:rsid w:val="000A366B"/>
    <w:rsid w:val="000A3ABE"/>
    <w:rsid w:val="000A4D7C"/>
    <w:rsid w:val="000A55C4"/>
    <w:rsid w:val="000A56C4"/>
    <w:rsid w:val="000A5EFC"/>
    <w:rsid w:val="000A7D6C"/>
    <w:rsid w:val="000B0CE2"/>
    <w:rsid w:val="000B0E37"/>
    <w:rsid w:val="000B0F02"/>
    <w:rsid w:val="000B162F"/>
    <w:rsid w:val="000B2209"/>
    <w:rsid w:val="000B2812"/>
    <w:rsid w:val="000B35E8"/>
    <w:rsid w:val="000B4067"/>
    <w:rsid w:val="000B4114"/>
    <w:rsid w:val="000B44E3"/>
    <w:rsid w:val="000B4902"/>
    <w:rsid w:val="000B5D11"/>
    <w:rsid w:val="000B646D"/>
    <w:rsid w:val="000B65FD"/>
    <w:rsid w:val="000B7762"/>
    <w:rsid w:val="000B78D8"/>
    <w:rsid w:val="000B7C4D"/>
    <w:rsid w:val="000C07E2"/>
    <w:rsid w:val="000C10A5"/>
    <w:rsid w:val="000C1ABA"/>
    <w:rsid w:val="000C23D9"/>
    <w:rsid w:val="000C2890"/>
    <w:rsid w:val="000C2F0E"/>
    <w:rsid w:val="000C2FB6"/>
    <w:rsid w:val="000C322A"/>
    <w:rsid w:val="000C34BF"/>
    <w:rsid w:val="000C4CAA"/>
    <w:rsid w:val="000C56B4"/>
    <w:rsid w:val="000C60C5"/>
    <w:rsid w:val="000C6DAE"/>
    <w:rsid w:val="000C7611"/>
    <w:rsid w:val="000C7EEE"/>
    <w:rsid w:val="000D01F2"/>
    <w:rsid w:val="000D09A0"/>
    <w:rsid w:val="000D0EF6"/>
    <w:rsid w:val="000D1942"/>
    <w:rsid w:val="000D27EB"/>
    <w:rsid w:val="000D2B7E"/>
    <w:rsid w:val="000D2D55"/>
    <w:rsid w:val="000D35D1"/>
    <w:rsid w:val="000D3865"/>
    <w:rsid w:val="000D4EF1"/>
    <w:rsid w:val="000D55F8"/>
    <w:rsid w:val="000D5B3A"/>
    <w:rsid w:val="000D5F1D"/>
    <w:rsid w:val="000D79DC"/>
    <w:rsid w:val="000E07CE"/>
    <w:rsid w:val="000E0808"/>
    <w:rsid w:val="000E182A"/>
    <w:rsid w:val="000E1C2D"/>
    <w:rsid w:val="000E1D1F"/>
    <w:rsid w:val="000E29FE"/>
    <w:rsid w:val="000E2ECB"/>
    <w:rsid w:val="000E2FF6"/>
    <w:rsid w:val="000E3866"/>
    <w:rsid w:val="000E38F8"/>
    <w:rsid w:val="000E43BF"/>
    <w:rsid w:val="000E4605"/>
    <w:rsid w:val="000E47B2"/>
    <w:rsid w:val="000E4FED"/>
    <w:rsid w:val="000E513B"/>
    <w:rsid w:val="000E5302"/>
    <w:rsid w:val="000E552C"/>
    <w:rsid w:val="000E5E83"/>
    <w:rsid w:val="000E642F"/>
    <w:rsid w:val="000E6C41"/>
    <w:rsid w:val="000E761E"/>
    <w:rsid w:val="000E78D1"/>
    <w:rsid w:val="000F0827"/>
    <w:rsid w:val="000F1A8C"/>
    <w:rsid w:val="000F1BA4"/>
    <w:rsid w:val="000F306D"/>
    <w:rsid w:val="000F39B7"/>
    <w:rsid w:val="000F45F2"/>
    <w:rsid w:val="000F5104"/>
    <w:rsid w:val="000F5664"/>
    <w:rsid w:val="000F5B56"/>
    <w:rsid w:val="000F6240"/>
    <w:rsid w:val="000F6CD9"/>
    <w:rsid w:val="000F7367"/>
    <w:rsid w:val="000F78F4"/>
    <w:rsid w:val="000F7DA8"/>
    <w:rsid w:val="000F7FA8"/>
    <w:rsid w:val="001012DE"/>
    <w:rsid w:val="00102028"/>
    <w:rsid w:val="001022B0"/>
    <w:rsid w:val="00102920"/>
    <w:rsid w:val="00102A4B"/>
    <w:rsid w:val="00103186"/>
    <w:rsid w:val="0010345A"/>
    <w:rsid w:val="00105D50"/>
    <w:rsid w:val="001061F3"/>
    <w:rsid w:val="00106359"/>
    <w:rsid w:val="00106D87"/>
    <w:rsid w:val="00107995"/>
    <w:rsid w:val="00107AEC"/>
    <w:rsid w:val="00107B71"/>
    <w:rsid w:val="001102CE"/>
    <w:rsid w:val="001103E8"/>
    <w:rsid w:val="001105EF"/>
    <w:rsid w:val="00110800"/>
    <w:rsid w:val="00110855"/>
    <w:rsid w:val="00110A40"/>
    <w:rsid w:val="0011122F"/>
    <w:rsid w:val="00111232"/>
    <w:rsid w:val="00111510"/>
    <w:rsid w:val="00111750"/>
    <w:rsid w:val="00111F7E"/>
    <w:rsid w:val="001120C8"/>
    <w:rsid w:val="00112118"/>
    <w:rsid w:val="00112500"/>
    <w:rsid w:val="00112BF5"/>
    <w:rsid w:val="001136A9"/>
    <w:rsid w:val="001136F8"/>
    <w:rsid w:val="00113B22"/>
    <w:rsid w:val="00114187"/>
    <w:rsid w:val="001145BF"/>
    <w:rsid w:val="001146C9"/>
    <w:rsid w:val="001146E0"/>
    <w:rsid w:val="00114B97"/>
    <w:rsid w:val="00116D68"/>
    <w:rsid w:val="0011797F"/>
    <w:rsid w:val="0012009B"/>
    <w:rsid w:val="0012116D"/>
    <w:rsid w:val="00121871"/>
    <w:rsid w:val="0012189B"/>
    <w:rsid w:val="00121E4E"/>
    <w:rsid w:val="00123076"/>
    <w:rsid w:val="001230F1"/>
    <w:rsid w:val="0012360D"/>
    <w:rsid w:val="00123DA1"/>
    <w:rsid w:val="001245B1"/>
    <w:rsid w:val="001250FD"/>
    <w:rsid w:val="00125D1D"/>
    <w:rsid w:val="00125EAC"/>
    <w:rsid w:val="00125FB2"/>
    <w:rsid w:val="00125FB4"/>
    <w:rsid w:val="00126658"/>
    <w:rsid w:val="00126F2E"/>
    <w:rsid w:val="00127EB9"/>
    <w:rsid w:val="001307A6"/>
    <w:rsid w:val="00130E0C"/>
    <w:rsid w:val="001319A1"/>
    <w:rsid w:val="00132BE0"/>
    <w:rsid w:val="00133A10"/>
    <w:rsid w:val="00134B51"/>
    <w:rsid w:val="00136CB2"/>
    <w:rsid w:val="00136ECE"/>
    <w:rsid w:val="00137340"/>
    <w:rsid w:val="001401F5"/>
    <w:rsid w:val="00141716"/>
    <w:rsid w:val="00142B31"/>
    <w:rsid w:val="00142D4D"/>
    <w:rsid w:val="001447F6"/>
    <w:rsid w:val="00144D5C"/>
    <w:rsid w:val="001455CC"/>
    <w:rsid w:val="0014587D"/>
    <w:rsid w:val="00145BDA"/>
    <w:rsid w:val="0014654B"/>
    <w:rsid w:val="00147064"/>
    <w:rsid w:val="00150D01"/>
    <w:rsid w:val="001527C7"/>
    <w:rsid w:val="00152DA5"/>
    <w:rsid w:val="00153C11"/>
    <w:rsid w:val="00153DF2"/>
    <w:rsid w:val="00154044"/>
    <w:rsid w:val="001548B3"/>
    <w:rsid w:val="00154CA3"/>
    <w:rsid w:val="00154CFA"/>
    <w:rsid w:val="00154DC3"/>
    <w:rsid w:val="00154E68"/>
    <w:rsid w:val="0015522D"/>
    <w:rsid w:val="0015530B"/>
    <w:rsid w:val="00155387"/>
    <w:rsid w:val="00155570"/>
    <w:rsid w:val="001558EA"/>
    <w:rsid w:val="00155A8F"/>
    <w:rsid w:val="00155AF7"/>
    <w:rsid w:val="00155B3C"/>
    <w:rsid w:val="00155BCD"/>
    <w:rsid w:val="001573F1"/>
    <w:rsid w:val="00157EF5"/>
    <w:rsid w:val="00160D20"/>
    <w:rsid w:val="0016270F"/>
    <w:rsid w:val="00162758"/>
    <w:rsid w:val="00162F1E"/>
    <w:rsid w:val="001630BF"/>
    <w:rsid w:val="00163331"/>
    <w:rsid w:val="00163689"/>
    <w:rsid w:val="00163CFB"/>
    <w:rsid w:val="0016461D"/>
    <w:rsid w:val="00164858"/>
    <w:rsid w:val="0016490A"/>
    <w:rsid w:val="00164B66"/>
    <w:rsid w:val="0016507C"/>
    <w:rsid w:val="00165920"/>
    <w:rsid w:val="00166D04"/>
    <w:rsid w:val="00166DF1"/>
    <w:rsid w:val="00167077"/>
    <w:rsid w:val="001674A9"/>
    <w:rsid w:val="001676C3"/>
    <w:rsid w:val="00167B96"/>
    <w:rsid w:val="001702FA"/>
    <w:rsid w:val="0017039A"/>
    <w:rsid w:val="00171802"/>
    <w:rsid w:val="00171A90"/>
    <w:rsid w:val="00171CED"/>
    <w:rsid w:val="00171FA8"/>
    <w:rsid w:val="0017200F"/>
    <w:rsid w:val="00172197"/>
    <w:rsid w:val="001739CD"/>
    <w:rsid w:val="00174052"/>
    <w:rsid w:val="001745BC"/>
    <w:rsid w:val="0017645B"/>
    <w:rsid w:val="001764F2"/>
    <w:rsid w:val="00177198"/>
    <w:rsid w:val="001773CD"/>
    <w:rsid w:val="001803A9"/>
    <w:rsid w:val="0018051E"/>
    <w:rsid w:val="00180AC2"/>
    <w:rsid w:val="001816D7"/>
    <w:rsid w:val="00181D1C"/>
    <w:rsid w:val="001820F5"/>
    <w:rsid w:val="0018222A"/>
    <w:rsid w:val="0018236A"/>
    <w:rsid w:val="00182552"/>
    <w:rsid w:val="001828A9"/>
    <w:rsid w:val="00183D20"/>
    <w:rsid w:val="00184156"/>
    <w:rsid w:val="00184736"/>
    <w:rsid w:val="0018493B"/>
    <w:rsid w:val="001852CA"/>
    <w:rsid w:val="001854E5"/>
    <w:rsid w:val="0018556A"/>
    <w:rsid w:val="00185FFF"/>
    <w:rsid w:val="0018681D"/>
    <w:rsid w:val="00187309"/>
    <w:rsid w:val="0019030F"/>
    <w:rsid w:val="001906B0"/>
    <w:rsid w:val="001910A7"/>
    <w:rsid w:val="0019110F"/>
    <w:rsid w:val="00191473"/>
    <w:rsid w:val="00191851"/>
    <w:rsid w:val="00191DF2"/>
    <w:rsid w:val="0019219D"/>
    <w:rsid w:val="00192386"/>
    <w:rsid w:val="00192401"/>
    <w:rsid w:val="001924EE"/>
    <w:rsid w:val="00193C9A"/>
    <w:rsid w:val="00193EAC"/>
    <w:rsid w:val="00194413"/>
    <w:rsid w:val="001944BA"/>
    <w:rsid w:val="001946A8"/>
    <w:rsid w:val="00194E5C"/>
    <w:rsid w:val="0019518F"/>
    <w:rsid w:val="0019557F"/>
    <w:rsid w:val="00195DCC"/>
    <w:rsid w:val="00196036"/>
    <w:rsid w:val="0019715C"/>
    <w:rsid w:val="00197A2F"/>
    <w:rsid w:val="00197D87"/>
    <w:rsid w:val="001A0070"/>
    <w:rsid w:val="001A0B03"/>
    <w:rsid w:val="001A0C93"/>
    <w:rsid w:val="001A12CA"/>
    <w:rsid w:val="001A258D"/>
    <w:rsid w:val="001A3347"/>
    <w:rsid w:val="001A34EA"/>
    <w:rsid w:val="001A3568"/>
    <w:rsid w:val="001A3700"/>
    <w:rsid w:val="001A3CBD"/>
    <w:rsid w:val="001A43D6"/>
    <w:rsid w:val="001A4FC6"/>
    <w:rsid w:val="001A52AB"/>
    <w:rsid w:val="001A5FCF"/>
    <w:rsid w:val="001A618E"/>
    <w:rsid w:val="001A631B"/>
    <w:rsid w:val="001A65FB"/>
    <w:rsid w:val="001A6AEB"/>
    <w:rsid w:val="001A6D59"/>
    <w:rsid w:val="001A6DEE"/>
    <w:rsid w:val="001A7333"/>
    <w:rsid w:val="001A779B"/>
    <w:rsid w:val="001B0BA6"/>
    <w:rsid w:val="001B139A"/>
    <w:rsid w:val="001B406C"/>
    <w:rsid w:val="001B4AAE"/>
    <w:rsid w:val="001B4DE2"/>
    <w:rsid w:val="001B4E43"/>
    <w:rsid w:val="001B62E7"/>
    <w:rsid w:val="001B6BD0"/>
    <w:rsid w:val="001B6E54"/>
    <w:rsid w:val="001B7F4F"/>
    <w:rsid w:val="001C02BE"/>
    <w:rsid w:val="001C04A0"/>
    <w:rsid w:val="001C09B0"/>
    <w:rsid w:val="001C279B"/>
    <w:rsid w:val="001C3289"/>
    <w:rsid w:val="001C407B"/>
    <w:rsid w:val="001C4313"/>
    <w:rsid w:val="001C45A7"/>
    <w:rsid w:val="001C49E0"/>
    <w:rsid w:val="001C55CF"/>
    <w:rsid w:val="001C5D18"/>
    <w:rsid w:val="001C5D46"/>
    <w:rsid w:val="001C5DD6"/>
    <w:rsid w:val="001C62A3"/>
    <w:rsid w:val="001C78A6"/>
    <w:rsid w:val="001D0C14"/>
    <w:rsid w:val="001D3781"/>
    <w:rsid w:val="001D3A1D"/>
    <w:rsid w:val="001D3E88"/>
    <w:rsid w:val="001D4107"/>
    <w:rsid w:val="001D42E2"/>
    <w:rsid w:val="001D4722"/>
    <w:rsid w:val="001D5537"/>
    <w:rsid w:val="001D5846"/>
    <w:rsid w:val="001D5F7D"/>
    <w:rsid w:val="001D6309"/>
    <w:rsid w:val="001D658B"/>
    <w:rsid w:val="001D6D7F"/>
    <w:rsid w:val="001D7822"/>
    <w:rsid w:val="001D7BD2"/>
    <w:rsid w:val="001E07D7"/>
    <w:rsid w:val="001E0BC9"/>
    <w:rsid w:val="001E5A18"/>
    <w:rsid w:val="001E5E11"/>
    <w:rsid w:val="001E728D"/>
    <w:rsid w:val="001E7836"/>
    <w:rsid w:val="001E7FB9"/>
    <w:rsid w:val="001F014F"/>
    <w:rsid w:val="001F03F7"/>
    <w:rsid w:val="001F0973"/>
    <w:rsid w:val="001F1E0F"/>
    <w:rsid w:val="001F2798"/>
    <w:rsid w:val="001F31FD"/>
    <w:rsid w:val="001F3F18"/>
    <w:rsid w:val="001F4645"/>
    <w:rsid w:val="001F4728"/>
    <w:rsid w:val="001F5E8A"/>
    <w:rsid w:val="001F6DE7"/>
    <w:rsid w:val="001F7FE4"/>
    <w:rsid w:val="00200D96"/>
    <w:rsid w:val="00201662"/>
    <w:rsid w:val="00201862"/>
    <w:rsid w:val="00202026"/>
    <w:rsid w:val="00202B60"/>
    <w:rsid w:val="002040E3"/>
    <w:rsid w:val="0020488E"/>
    <w:rsid w:val="00204C8F"/>
    <w:rsid w:val="00204CD6"/>
    <w:rsid w:val="00204E26"/>
    <w:rsid w:val="00207177"/>
    <w:rsid w:val="00207396"/>
    <w:rsid w:val="00207A19"/>
    <w:rsid w:val="0021044B"/>
    <w:rsid w:val="00210E4A"/>
    <w:rsid w:val="0021163B"/>
    <w:rsid w:val="002119EE"/>
    <w:rsid w:val="00211D20"/>
    <w:rsid w:val="00212335"/>
    <w:rsid w:val="00212EAB"/>
    <w:rsid w:val="00212FFA"/>
    <w:rsid w:val="0021307F"/>
    <w:rsid w:val="002132FF"/>
    <w:rsid w:val="00213B97"/>
    <w:rsid w:val="0021426F"/>
    <w:rsid w:val="00214D67"/>
    <w:rsid w:val="00215273"/>
    <w:rsid w:val="0021545B"/>
    <w:rsid w:val="002154C2"/>
    <w:rsid w:val="002159B7"/>
    <w:rsid w:val="00215E07"/>
    <w:rsid w:val="00216E1C"/>
    <w:rsid w:val="002218EB"/>
    <w:rsid w:val="00221A95"/>
    <w:rsid w:val="00221DA3"/>
    <w:rsid w:val="00221DEF"/>
    <w:rsid w:val="00223120"/>
    <w:rsid w:val="00223C1A"/>
    <w:rsid w:val="00224255"/>
    <w:rsid w:val="00224359"/>
    <w:rsid w:val="00224A87"/>
    <w:rsid w:val="00224A9E"/>
    <w:rsid w:val="00224CB6"/>
    <w:rsid w:val="002256F3"/>
    <w:rsid w:val="00225956"/>
    <w:rsid w:val="002261F6"/>
    <w:rsid w:val="002263CB"/>
    <w:rsid w:val="002266E7"/>
    <w:rsid w:val="00226C4B"/>
    <w:rsid w:val="0022717C"/>
    <w:rsid w:val="002275DB"/>
    <w:rsid w:val="00227909"/>
    <w:rsid w:val="00227A21"/>
    <w:rsid w:val="0023006F"/>
    <w:rsid w:val="00230B6D"/>
    <w:rsid w:val="0023167B"/>
    <w:rsid w:val="00231873"/>
    <w:rsid w:val="002318B9"/>
    <w:rsid w:val="00231918"/>
    <w:rsid w:val="00231ABC"/>
    <w:rsid w:val="0023205B"/>
    <w:rsid w:val="00232098"/>
    <w:rsid w:val="002320C7"/>
    <w:rsid w:val="00233424"/>
    <w:rsid w:val="00233808"/>
    <w:rsid w:val="00233A04"/>
    <w:rsid w:val="00233E7E"/>
    <w:rsid w:val="002340F2"/>
    <w:rsid w:val="0023468C"/>
    <w:rsid w:val="00234932"/>
    <w:rsid w:val="0023505F"/>
    <w:rsid w:val="00235A85"/>
    <w:rsid w:val="0023664A"/>
    <w:rsid w:val="002378F4"/>
    <w:rsid w:val="00237F7E"/>
    <w:rsid w:val="00240642"/>
    <w:rsid w:val="002408A4"/>
    <w:rsid w:val="00240E1B"/>
    <w:rsid w:val="002412FF"/>
    <w:rsid w:val="00241D8A"/>
    <w:rsid w:val="00242373"/>
    <w:rsid w:val="00242F4A"/>
    <w:rsid w:val="00243B8B"/>
    <w:rsid w:val="00243C06"/>
    <w:rsid w:val="00244647"/>
    <w:rsid w:val="0024477E"/>
    <w:rsid w:val="00245EAD"/>
    <w:rsid w:val="00245F39"/>
    <w:rsid w:val="00245F63"/>
    <w:rsid w:val="00246D0E"/>
    <w:rsid w:val="00247FB2"/>
    <w:rsid w:val="00250728"/>
    <w:rsid w:val="0025091E"/>
    <w:rsid w:val="00250E43"/>
    <w:rsid w:val="00250F9B"/>
    <w:rsid w:val="00251193"/>
    <w:rsid w:val="00252999"/>
    <w:rsid w:val="00252C01"/>
    <w:rsid w:val="00252FCF"/>
    <w:rsid w:val="00253A28"/>
    <w:rsid w:val="00253B3A"/>
    <w:rsid w:val="00253B81"/>
    <w:rsid w:val="00254601"/>
    <w:rsid w:val="0025530E"/>
    <w:rsid w:val="00256567"/>
    <w:rsid w:val="0025676E"/>
    <w:rsid w:val="0025793B"/>
    <w:rsid w:val="00260929"/>
    <w:rsid w:val="00260FC5"/>
    <w:rsid w:val="00261B67"/>
    <w:rsid w:val="002634D8"/>
    <w:rsid w:val="00263917"/>
    <w:rsid w:val="00263BF4"/>
    <w:rsid w:val="00263C7B"/>
    <w:rsid w:val="00264E33"/>
    <w:rsid w:val="00264F63"/>
    <w:rsid w:val="002667AB"/>
    <w:rsid w:val="00266A0C"/>
    <w:rsid w:val="00266A9C"/>
    <w:rsid w:val="0026731B"/>
    <w:rsid w:val="00267772"/>
    <w:rsid w:val="00267785"/>
    <w:rsid w:val="00267A21"/>
    <w:rsid w:val="00267C48"/>
    <w:rsid w:val="002705E9"/>
    <w:rsid w:val="002708D9"/>
    <w:rsid w:val="00270B3A"/>
    <w:rsid w:val="002713D3"/>
    <w:rsid w:val="00271808"/>
    <w:rsid w:val="002718A5"/>
    <w:rsid w:val="00271CB7"/>
    <w:rsid w:val="0027215E"/>
    <w:rsid w:val="00272400"/>
    <w:rsid w:val="00273194"/>
    <w:rsid w:val="002738AC"/>
    <w:rsid w:val="00273ABC"/>
    <w:rsid w:val="00273F62"/>
    <w:rsid w:val="002740C9"/>
    <w:rsid w:val="0027415C"/>
    <w:rsid w:val="002743AD"/>
    <w:rsid w:val="00274BF7"/>
    <w:rsid w:val="002753AE"/>
    <w:rsid w:val="00275867"/>
    <w:rsid w:val="00275942"/>
    <w:rsid w:val="00276A6E"/>
    <w:rsid w:val="00276D2C"/>
    <w:rsid w:val="0027710A"/>
    <w:rsid w:val="00280EEF"/>
    <w:rsid w:val="00281117"/>
    <w:rsid w:val="002818E8"/>
    <w:rsid w:val="00281D43"/>
    <w:rsid w:val="0028354B"/>
    <w:rsid w:val="00283E86"/>
    <w:rsid w:val="00284234"/>
    <w:rsid w:val="00284386"/>
    <w:rsid w:val="0028467A"/>
    <w:rsid w:val="0028481A"/>
    <w:rsid w:val="00284B5C"/>
    <w:rsid w:val="00285F5B"/>
    <w:rsid w:val="0028681F"/>
    <w:rsid w:val="00286A1B"/>
    <w:rsid w:val="00286A45"/>
    <w:rsid w:val="002874CC"/>
    <w:rsid w:val="0029039E"/>
    <w:rsid w:val="0029068B"/>
    <w:rsid w:val="00290CAE"/>
    <w:rsid w:val="002928DA"/>
    <w:rsid w:val="00292E97"/>
    <w:rsid w:val="0029319E"/>
    <w:rsid w:val="0029323C"/>
    <w:rsid w:val="00293526"/>
    <w:rsid w:val="00293626"/>
    <w:rsid w:val="0029371C"/>
    <w:rsid w:val="0029399B"/>
    <w:rsid w:val="00294E9A"/>
    <w:rsid w:val="00295A38"/>
    <w:rsid w:val="00296BB4"/>
    <w:rsid w:val="00297888"/>
    <w:rsid w:val="00297A4E"/>
    <w:rsid w:val="002A0046"/>
    <w:rsid w:val="002A0829"/>
    <w:rsid w:val="002A1721"/>
    <w:rsid w:val="002A270A"/>
    <w:rsid w:val="002A37C5"/>
    <w:rsid w:val="002A42AF"/>
    <w:rsid w:val="002A6BB1"/>
    <w:rsid w:val="002A7063"/>
    <w:rsid w:val="002A7115"/>
    <w:rsid w:val="002A7CB7"/>
    <w:rsid w:val="002B06D8"/>
    <w:rsid w:val="002B0FB7"/>
    <w:rsid w:val="002B123A"/>
    <w:rsid w:val="002B180C"/>
    <w:rsid w:val="002B1CB6"/>
    <w:rsid w:val="002B3891"/>
    <w:rsid w:val="002B4178"/>
    <w:rsid w:val="002B42F7"/>
    <w:rsid w:val="002B4BC5"/>
    <w:rsid w:val="002B4DCE"/>
    <w:rsid w:val="002B5034"/>
    <w:rsid w:val="002B5727"/>
    <w:rsid w:val="002B60D8"/>
    <w:rsid w:val="002B745D"/>
    <w:rsid w:val="002B798D"/>
    <w:rsid w:val="002B7C7D"/>
    <w:rsid w:val="002C051F"/>
    <w:rsid w:val="002C0FAE"/>
    <w:rsid w:val="002C1150"/>
    <w:rsid w:val="002C1259"/>
    <w:rsid w:val="002C2259"/>
    <w:rsid w:val="002C3FE5"/>
    <w:rsid w:val="002C4184"/>
    <w:rsid w:val="002C469A"/>
    <w:rsid w:val="002C4B31"/>
    <w:rsid w:val="002C592D"/>
    <w:rsid w:val="002C682E"/>
    <w:rsid w:val="002C72A5"/>
    <w:rsid w:val="002C7E48"/>
    <w:rsid w:val="002D0726"/>
    <w:rsid w:val="002D2271"/>
    <w:rsid w:val="002D4F34"/>
    <w:rsid w:val="002D4F4F"/>
    <w:rsid w:val="002D55E2"/>
    <w:rsid w:val="002D5ABF"/>
    <w:rsid w:val="002D5F77"/>
    <w:rsid w:val="002D6243"/>
    <w:rsid w:val="002D70F1"/>
    <w:rsid w:val="002E0533"/>
    <w:rsid w:val="002E1354"/>
    <w:rsid w:val="002E2D91"/>
    <w:rsid w:val="002E2F24"/>
    <w:rsid w:val="002E3642"/>
    <w:rsid w:val="002E3707"/>
    <w:rsid w:val="002E4079"/>
    <w:rsid w:val="002E41D6"/>
    <w:rsid w:val="002E4512"/>
    <w:rsid w:val="002E49A4"/>
    <w:rsid w:val="002E553E"/>
    <w:rsid w:val="002E6048"/>
    <w:rsid w:val="002E66B7"/>
    <w:rsid w:val="002E68A6"/>
    <w:rsid w:val="002E68B2"/>
    <w:rsid w:val="002E6EB5"/>
    <w:rsid w:val="002E70E8"/>
    <w:rsid w:val="002E7A04"/>
    <w:rsid w:val="002F0B22"/>
    <w:rsid w:val="002F123F"/>
    <w:rsid w:val="002F1C2F"/>
    <w:rsid w:val="002F29F7"/>
    <w:rsid w:val="002F38BD"/>
    <w:rsid w:val="002F4ADF"/>
    <w:rsid w:val="002F4E1E"/>
    <w:rsid w:val="002F574E"/>
    <w:rsid w:val="002F5BF8"/>
    <w:rsid w:val="002F6C07"/>
    <w:rsid w:val="002F764E"/>
    <w:rsid w:val="002F7E0E"/>
    <w:rsid w:val="0030101E"/>
    <w:rsid w:val="00301148"/>
    <w:rsid w:val="00301265"/>
    <w:rsid w:val="0030192B"/>
    <w:rsid w:val="00302537"/>
    <w:rsid w:val="0030265E"/>
    <w:rsid w:val="00302931"/>
    <w:rsid w:val="00302A13"/>
    <w:rsid w:val="00302BCD"/>
    <w:rsid w:val="003047E6"/>
    <w:rsid w:val="00304A62"/>
    <w:rsid w:val="00304AA4"/>
    <w:rsid w:val="003056F1"/>
    <w:rsid w:val="00306009"/>
    <w:rsid w:val="00306744"/>
    <w:rsid w:val="00306E1E"/>
    <w:rsid w:val="00310572"/>
    <w:rsid w:val="00310750"/>
    <w:rsid w:val="00312756"/>
    <w:rsid w:val="00313B76"/>
    <w:rsid w:val="0031438B"/>
    <w:rsid w:val="003152E3"/>
    <w:rsid w:val="0031597C"/>
    <w:rsid w:val="00315E66"/>
    <w:rsid w:val="00317B06"/>
    <w:rsid w:val="0032024E"/>
    <w:rsid w:val="00320C2D"/>
    <w:rsid w:val="003212CC"/>
    <w:rsid w:val="00321385"/>
    <w:rsid w:val="00321D29"/>
    <w:rsid w:val="00322332"/>
    <w:rsid w:val="00323721"/>
    <w:rsid w:val="00324668"/>
    <w:rsid w:val="003247A3"/>
    <w:rsid w:val="00326095"/>
    <w:rsid w:val="003261B8"/>
    <w:rsid w:val="00326458"/>
    <w:rsid w:val="003267A2"/>
    <w:rsid w:val="0032690C"/>
    <w:rsid w:val="00326EA8"/>
    <w:rsid w:val="00327403"/>
    <w:rsid w:val="003300D4"/>
    <w:rsid w:val="00332277"/>
    <w:rsid w:val="0033232E"/>
    <w:rsid w:val="00332459"/>
    <w:rsid w:val="003328F4"/>
    <w:rsid w:val="003332BC"/>
    <w:rsid w:val="00334636"/>
    <w:rsid w:val="00334DE9"/>
    <w:rsid w:val="00335C8F"/>
    <w:rsid w:val="003361F1"/>
    <w:rsid w:val="00336A36"/>
    <w:rsid w:val="00337A03"/>
    <w:rsid w:val="00340443"/>
    <w:rsid w:val="0034055A"/>
    <w:rsid w:val="00340989"/>
    <w:rsid w:val="003409F8"/>
    <w:rsid w:val="0034326D"/>
    <w:rsid w:val="003437FE"/>
    <w:rsid w:val="003439E5"/>
    <w:rsid w:val="00343F79"/>
    <w:rsid w:val="00343FDB"/>
    <w:rsid w:val="00344789"/>
    <w:rsid w:val="0034499F"/>
    <w:rsid w:val="00345726"/>
    <w:rsid w:val="00345C8E"/>
    <w:rsid w:val="00346F14"/>
    <w:rsid w:val="00347D64"/>
    <w:rsid w:val="0035026C"/>
    <w:rsid w:val="00351DC0"/>
    <w:rsid w:val="00351E7E"/>
    <w:rsid w:val="00351FBA"/>
    <w:rsid w:val="003520D8"/>
    <w:rsid w:val="003529C7"/>
    <w:rsid w:val="00352BF7"/>
    <w:rsid w:val="003538A9"/>
    <w:rsid w:val="00353B9F"/>
    <w:rsid w:val="0035467C"/>
    <w:rsid w:val="00355244"/>
    <w:rsid w:val="003553AF"/>
    <w:rsid w:val="00355E54"/>
    <w:rsid w:val="003564EE"/>
    <w:rsid w:val="003569C7"/>
    <w:rsid w:val="00356CC6"/>
    <w:rsid w:val="00360904"/>
    <w:rsid w:val="00360C62"/>
    <w:rsid w:val="003614FE"/>
    <w:rsid w:val="00361A0F"/>
    <w:rsid w:val="00361F84"/>
    <w:rsid w:val="0036299F"/>
    <w:rsid w:val="00362C60"/>
    <w:rsid w:val="00364703"/>
    <w:rsid w:val="00364C7D"/>
    <w:rsid w:val="00365324"/>
    <w:rsid w:val="0036557A"/>
    <w:rsid w:val="0036594B"/>
    <w:rsid w:val="00366F61"/>
    <w:rsid w:val="00367DAE"/>
    <w:rsid w:val="00367F24"/>
    <w:rsid w:val="003700A9"/>
    <w:rsid w:val="00371475"/>
    <w:rsid w:val="00371E96"/>
    <w:rsid w:val="00372302"/>
    <w:rsid w:val="00373AD6"/>
    <w:rsid w:val="00374E77"/>
    <w:rsid w:val="003757AC"/>
    <w:rsid w:val="00376992"/>
    <w:rsid w:val="00376DBA"/>
    <w:rsid w:val="00380354"/>
    <w:rsid w:val="0038080B"/>
    <w:rsid w:val="00381D43"/>
    <w:rsid w:val="00381DB0"/>
    <w:rsid w:val="00382230"/>
    <w:rsid w:val="00382734"/>
    <w:rsid w:val="0038303E"/>
    <w:rsid w:val="00383137"/>
    <w:rsid w:val="00384DBA"/>
    <w:rsid w:val="003854E0"/>
    <w:rsid w:val="00385A7F"/>
    <w:rsid w:val="00386A13"/>
    <w:rsid w:val="00386DE1"/>
    <w:rsid w:val="00386F20"/>
    <w:rsid w:val="003872F5"/>
    <w:rsid w:val="00387E4D"/>
    <w:rsid w:val="00390890"/>
    <w:rsid w:val="00390D88"/>
    <w:rsid w:val="0039137A"/>
    <w:rsid w:val="00393059"/>
    <w:rsid w:val="00393BB2"/>
    <w:rsid w:val="00393FF6"/>
    <w:rsid w:val="0039476A"/>
    <w:rsid w:val="00394785"/>
    <w:rsid w:val="00394861"/>
    <w:rsid w:val="003953A0"/>
    <w:rsid w:val="003960B6"/>
    <w:rsid w:val="00396C0E"/>
    <w:rsid w:val="00396D01"/>
    <w:rsid w:val="00396E83"/>
    <w:rsid w:val="00397069"/>
    <w:rsid w:val="003970E1"/>
    <w:rsid w:val="003A0570"/>
    <w:rsid w:val="003A1197"/>
    <w:rsid w:val="003A1512"/>
    <w:rsid w:val="003A1BE9"/>
    <w:rsid w:val="003A1C54"/>
    <w:rsid w:val="003A280F"/>
    <w:rsid w:val="003A30C4"/>
    <w:rsid w:val="003A49AD"/>
    <w:rsid w:val="003A49CC"/>
    <w:rsid w:val="003A7CB6"/>
    <w:rsid w:val="003A7FF9"/>
    <w:rsid w:val="003B0087"/>
    <w:rsid w:val="003B05E9"/>
    <w:rsid w:val="003B06B0"/>
    <w:rsid w:val="003B0713"/>
    <w:rsid w:val="003B08B3"/>
    <w:rsid w:val="003B09B4"/>
    <w:rsid w:val="003B09E5"/>
    <w:rsid w:val="003B1078"/>
    <w:rsid w:val="003B2A20"/>
    <w:rsid w:val="003B362D"/>
    <w:rsid w:val="003B363C"/>
    <w:rsid w:val="003B38AC"/>
    <w:rsid w:val="003B41BD"/>
    <w:rsid w:val="003B4666"/>
    <w:rsid w:val="003B487C"/>
    <w:rsid w:val="003B4B6F"/>
    <w:rsid w:val="003B4C03"/>
    <w:rsid w:val="003B4CAC"/>
    <w:rsid w:val="003B51EC"/>
    <w:rsid w:val="003B51EF"/>
    <w:rsid w:val="003B5589"/>
    <w:rsid w:val="003B5687"/>
    <w:rsid w:val="003B588A"/>
    <w:rsid w:val="003B5E42"/>
    <w:rsid w:val="003B63BB"/>
    <w:rsid w:val="003B7659"/>
    <w:rsid w:val="003B7C6C"/>
    <w:rsid w:val="003C0AF5"/>
    <w:rsid w:val="003C21AC"/>
    <w:rsid w:val="003C251B"/>
    <w:rsid w:val="003C275F"/>
    <w:rsid w:val="003C363F"/>
    <w:rsid w:val="003C3802"/>
    <w:rsid w:val="003C3F3B"/>
    <w:rsid w:val="003C4902"/>
    <w:rsid w:val="003C50BD"/>
    <w:rsid w:val="003C5362"/>
    <w:rsid w:val="003C6B17"/>
    <w:rsid w:val="003C6B98"/>
    <w:rsid w:val="003C7A04"/>
    <w:rsid w:val="003C7C71"/>
    <w:rsid w:val="003D0172"/>
    <w:rsid w:val="003D152B"/>
    <w:rsid w:val="003D31D1"/>
    <w:rsid w:val="003D3507"/>
    <w:rsid w:val="003D3984"/>
    <w:rsid w:val="003D4383"/>
    <w:rsid w:val="003D4982"/>
    <w:rsid w:val="003D5974"/>
    <w:rsid w:val="003D5EC4"/>
    <w:rsid w:val="003D694D"/>
    <w:rsid w:val="003D6F7F"/>
    <w:rsid w:val="003D71AA"/>
    <w:rsid w:val="003D7CEC"/>
    <w:rsid w:val="003E01BF"/>
    <w:rsid w:val="003E0B7F"/>
    <w:rsid w:val="003E0BDE"/>
    <w:rsid w:val="003E1035"/>
    <w:rsid w:val="003E21A6"/>
    <w:rsid w:val="003E248A"/>
    <w:rsid w:val="003E34B1"/>
    <w:rsid w:val="003E3C3F"/>
    <w:rsid w:val="003E5246"/>
    <w:rsid w:val="003E65E1"/>
    <w:rsid w:val="003E6E45"/>
    <w:rsid w:val="003E770C"/>
    <w:rsid w:val="003E77E4"/>
    <w:rsid w:val="003E7EED"/>
    <w:rsid w:val="003F00EA"/>
    <w:rsid w:val="003F0B0D"/>
    <w:rsid w:val="003F1196"/>
    <w:rsid w:val="003F148C"/>
    <w:rsid w:val="003F284D"/>
    <w:rsid w:val="003F2AA0"/>
    <w:rsid w:val="003F2DAD"/>
    <w:rsid w:val="003F3396"/>
    <w:rsid w:val="003F3F4F"/>
    <w:rsid w:val="003F49C4"/>
    <w:rsid w:val="003F4AF0"/>
    <w:rsid w:val="003F5754"/>
    <w:rsid w:val="003F590D"/>
    <w:rsid w:val="003F5E11"/>
    <w:rsid w:val="003F5ECA"/>
    <w:rsid w:val="004000FE"/>
    <w:rsid w:val="00401793"/>
    <w:rsid w:val="004021FE"/>
    <w:rsid w:val="0040266B"/>
    <w:rsid w:val="0040328A"/>
    <w:rsid w:val="00404591"/>
    <w:rsid w:val="00404800"/>
    <w:rsid w:val="0040574E"/>
    <w:rsid w:val="00405779"/>
    <w:rsid w:val="004069C3"/>
    <w:rsid w:val="00406C29"/>
    <w:rsid w:val="00406E87"/>
    <w:rsid w:val="00406F2E"/>
    <w:rsid w:val="004076E5"/>
    <w:rsid w:val="004078E5"/>
    <w:rsid w:val="00407F3D"/>
    <w:rsid w:val="00410B7E"/>
    <w:rsid w:val="0041161C"/>
    <w:rsid w:val="00411683"/>
    <w:rsid w:val="00411C7A"/>
    <w:rsid w:val="00411CB1"/>
    <w:rsid w:val="004122B0"/>
    <w:rsid w:val="004127E5"/>
    <w:rsid w:val="00412AD6"/>
    <w:rsid w:val="00412E21"/>
    <w:rsid w:val="0041327D"/>
    <w:rsid w:val="00413899"/>
    <w:rsid w:val="00413E6E"/>
    <w:rsid w:val="00414BAB"/>
    <w:rsid w:val="00414FD5"/>
    <w:rsid w:val="0041505A"/>
    <w:rsid w:val="00415322"/>
    <w:rsid w:val="004161E3"/>
    <w:rsid w:val="0041651C"/>
    <w:rsid w:val="0041668B"/>
    <w:rsid w:val="0041689C"/>
    <w:rsid w:val="00416FEF"/>
    <w:rsid w:val="00417530"/>
    <w:rsid w:val="00417C91"/>
    <w:rsid w:val="004200C1"/>
    <w:rsid w:val="00420607"/>
    <w:rsid w:val="00420FE1"/>
    <w:rsid w:val="00421975"/>
    <w:rsid w:val="0042203E"/>
    <w:rsid w:val="00422203"/>
    <w:rsid w:val="004238CE"/>
    <w:rsid w:val="00425644"/>
    <w:rsid w:val="00425809"/>
    <w:rsid w:val="00425AD9"/>
    <w:rsid w:val="00426221"/>
    <w:rsid w:val="00426E17"/>
    <w:rsid w:val="00426EFB"/>
    <w:rsid w:val="004270F5"/>
    <w:rsid w:val="0042750F"/>
    <w:rsid w:val="00427C4B"/>
    <w:rsid w:val="00427E3B"/>
    <w:rsid w:val="00431DF9"/>
    <w:rsid w:val="00432799"/>
    <w:rsid w:val="0043296E"/>
    <w:rsid w:val="00432D48"/>
    <w:rsid w:val="00433031"/>
    <w:rsid w:val="0043332D"/>
    <w:rsid w:val="004337C5"/>
    <w:rsid w:val="004337EC"/>
    <w:rsid w:val="00433F1A"/>
    <w:rsid w:val="00434FB5"/>
    <w:rsid w:val="0043566E"/>
    <w:rsid w:val="00435CA9"/>
    <w:rsid w:val="00435D82"/>
    <w:rsid w:val="00437128"/>
    <w:rsid w:val="00437615"/>
    <w:rsid w:val="00437D94"/>
    <w:rsid w:val="004404F6"/>
    <w:rsid w:val="00440F23"/>
    <w:rsid w:val="004414FF"/>
    <w:rsid w:val="004416D3"/>
    <w:rsid w:val="00441E69"/>
    <w:rsid w:val="00442043"/>
    <w:rsid w:val="0044257A"/>
    <w:rsid w:val="00442A04"/>
    <w:rsid w:val="00443EAF"/>
    <w:rsid w:val="004444F4"/>
    <w:rsid w:val="00444988"/>
    <w:rsid w:val="00445075"/>
    <w:rsid w:val="00445309"/>
    <w:rsid w:val="0044537E"/>
    <w:rsid w:val="00445DC5"/>
    <w:rsid w:val="0044644A"/>
    <w:rsid w:val="00450277"/>
    <w:rsid w:val="004506E0"/>
    <w:rsid w:val="00451650"/>
    <w:rsid w:val="004529EB"/>
    <w:rsid w:val="00454331"/>
    <w:rsid w:val="0045459C"/>
    <w:rsid w:val="00454CCD"/>
    <w:rsid w:val="00455370"/>
    <w:rsid w:val="004569C5"/>
    <w:rsid w:val="00456D94"/>
    <w:rsid w:val="00456FD1"/>
    <w:rsid w:val="00457A89"/>
    <w:rsid w:val="00460475"/>
    <w:rsid w:val="0046057D"/>
    <w:rsid w:val="004605F8"/>
    <w:rsid w:val="00460C38"/>
    <w:rsid w:val="004618C8"/>
    <w:rsid w:val="00461C47"/>
    <w:rsid w:val="004627E0"/>
    <w:rsid w:val="00462F58"/>
    <w:rsid w:val="00463E20"/>
    <w:rsid w:val="0046464E"/>
    <w:rsid w:val="00464986"/>
    <w:rsid w:val="00464AEE"/>
    <w:rsid w:val="0046509E"/>
    <w:rsid w:val="0046517F"/>
    <w:rsid w:val="004653D3"/>
    <w:rsid w:val="004655BE"/>
    <w:rsid w:val="004656F1"/>
    <w:rsid w:val="00465F60"/>
    <w:rsid w:val="00466016"/>
    <w:rsid w:val="004660BC"/>
    <w:rsid w:val="00466C74"/>
    <w:rsid w:val="004672ED"/>
    <w:rsid w:val="0046778C"/>
    <w:rsid w:val="00467B83"/>
    <w:rsid w:val="0047001E"/>
    <w:rsid w:val="0047071F"/>
    <w:rsid w:val="00470CD4"/>
    <w:rsid w:val="00471274"/>
    <w:rsid w:val="00471437"/>
    <w:rsid w:val="00471590"/>
    <w:rsid w:val="00471654"/>
    <w:rsid w:val="00471D73"/>
    <w:rsid w:val="00472611"/>
    <w:rsid w:val="004730D9"/>
    <w:rsid w:val="00473473"/>
    <w:rsid w:val="00473BA9"/>
    <w:rsid w:val="004745E4"/>
    <w:rsid w:val="004749C1"/>
    <w:rsid w:val="0047519C"/>
    <w:rsid w:val="00475C88"/>
    <w:rsid w:val="00475DAE"/>
    <w:rsid w:val="004763BB"/>
    <w:rsid w:val="00476473"/>
    <w:rsid w:val="00476B34"/>
    <w:rsid w:val="00476DAF"/>
    <w:rsid w:val="0047715B"/>
    <w:rsid w:val="00477E8C"/>
    <w:rsid w:val="004800ED"/>
    <w:rsid w:val="00480300"/>
    <w:rsid w:val="00480718"/>
    <w:rsid w:val="00480A2D"/>
    <w:rsid w:val="00480BCC"/>
    <w:rsid w:val="00481F43"/>
    <w:rsid w:val="00481FC6"/>
    <w:rsid w:val="0048200A"/>
    <w:rsid w:val="004820BD"/>
    <w:rsid w:val="0048243F"/>
    <w:rsid w:val="00482A4E"/>
    <w:rsid w:val="00482D65"/>
    <w:rsid w:val="00483AEE"/>
    <w:rsid w:val="00483D76"/>
    <w:rsid w:val="00483DF4"/>
    <w:rsid w:val="00484130"/>
    <w:rsid w:val="00485198"/>
    <w:rsid w:val="004851FB"/>
    <w:rsid w:val="004853FB"/>
    <w:rsid w:val="004861DF"/>
    <w:rsid w:val="0048642F"/>
    <w:rsid w:val="00486607"/>
    <w:rsid w:val="0048687E"/>
    <w:rsid w:val="00486C39"/>
    <w:rsid w:val="00486CC8"/>
    <w:rsid w:val="00486DAA"/>
    <w:rsid w:val="00490191"/>
    <w:rsid w:val="00492678"/>
    <w:rsid w:val="004930BE"/>
    <w:rsid w:val="00493940"/>
    <w:rsid w:val="00493D14"/>
    <w:rsid w:val="004943A7"/>
    <w:rsid w:val="00494E99"/>
    <w:rsid w:val="00496036"/>
    <w:rsid w:val="00496A98"/>
    <w:rsid w:val="00496A9F"/>
    <w:rsid w:val="00496E15"/>
    <w:rsid w:val="00497003"/>
    <w:rsid w:val="004A01A5"/>
    <w:rsid w:val="004A0EAF"/>
    <w:rsid w:val="004A0EBA"/>
    <w:rsid w:val="004A125C"/>
    <w:rsid w:val="004A2432"/>
    <w:rsid w:val="004A25FD"/>
    <w:rsid w:val="004A2871"/>
    <w:rsid w:val="004A3985"/>
    <w:rsid w:val="004A43B3"/>
    <w:rsid w:val="004A533C"/>
    <w:rsid w:val="004A54AF"/>
    <w:rsid w:val="004A557A"/>
    <w:rsid w:val="004A55E1"/>
    <w:rsid w:val="004A5727"/>
    <w:rsid w:val="004A5986"/>
    <w:rsid w:val="004A6368"/>
    <w:rsid w:val="004A72AD"/>
    <w:rsid w:val="004A74C5"/>
    <w:rsid w:val="004A7D4F"/>
    <w:rsid w:val="004B04D8"/>
    <w:rsid w:val="004B057B"/>
    <w:rsid w:val="004B1206"/>
    <w:rsid w:val="004B14B0"/>
    <w:rsid w:val="004B1D74"/>
    <w:rsid w:val="004B1EA4"/>
    <w:rsid w:val="004B2209"/>
    <w:rsid w:val="004B283D"/>
    <w:rsid w:val="004B326B"/>
    <w:rsid w:val="004B5556"/>
    <w:rsid w:val="004B59DB"/>
    <w:rsid w:val="004B5ACB"/>
    <w:rsid w:val="004B6500"/>
    <w:rsid w:val="004B65A9"/>
    <w:rsid w:val="004B6D96"/>
    <w:rsid w:val="004B7130"/>
    <w:rsid w:val="004B7289"/>
    <w:rsid w:val="004B7494"/>
    <w:rsid w:val="004C081F"/>
    <w:rsid w:val="004C297B"/>
    <w:rsid w:val="004C36CD"/>
    <w:rsid w:val="004C445D"/>
    <w:rsid w:val="004C4629"/>
    <w:rsid w:val="004C463E"/>
    <w:rsid w:val="004C4C42"/>
    <w:rsid w:val="004C5192"/>
    <w:rsid w:val="004C57DB"/>
    <w:rsid w:val="004C58DA"/>
    <w:rsid w:val="004C6181"/>
    <w:rsid w:val="004C63AB"/>
    <w:rsid w:val="004C6C28"/>
    <w:rsid w:val="004C7117"/>
    <w:rsid w:val="004D0239"/>
    <w:rsid w:val="004D0D39"/>
    <w:rsid w:val="004D11B0"/>
    <w:rsid w:val="004D1C94"/>
    <w:rsid w:val="004D1FE3"/>
    <w:rsid w:val="004D214E"/>
    <w:rsid w:val="004D27BB"/>
    <w:rsid w:val="004D29A7"/>
    <w:rsid w:val="004D3770"/>
    <w:rsid w:val="004D380D"/>
    <w:rsid w:val="004D48BF"/>
    <w:rsid w:val="004D5933"/>
    <w:rsid w:val="004D5A5D"/>
    <w:rsid w:val="004D5AE7"/>
    <w:rsid w:val="004D5FD6"/>
    <w:rsid w:val="004D61E1"/>
    <w:rsid w:val="004D6216"/>
    <w:rsid w:val="004D632A"/>
    <w:rsid w:val="004D71A3"/>
    <w:rsid w:val="004E0418"/>
    <w:rsid w:val="004E0448"/>
    <w:rsid w:val="004E0EAA"/>
    <w:rsid w:val="004E1405"/>
    <w:rsid w:val="004E1A13"/>
    <w:rsid w:val="004E22B6"/>
    <w:rsid w:val="004E259A"/>
    <w:rsid w:val="004E269E"/>
    <w:rsid w:val="004E27BF"/>
    <w:rsid w:val="004E2969"/>
    <w:rsid w:val="004E2DCB"/>
    <w:rsid w:val="004E3293"/>
    <w:rsid w:val="004E34FF"/>
    <w:rsid w:val="004E3762"/>
    <w:rsid w:val="004E43FC"/>
    <w:rsid w:val="004E442B"/>
    <w:rsid w:val="004E449E"/>
    <w:rsid w:val="004E4DB1"/>
    <w:rsid w:val="004E5B80"/>
    <w:rsid w:val="004E6965"/>
    <w:rsid w:val="004E6C0D"/>
    <w:rsid w:val="004E7693"/>
    <w:rsid w:val="004E77F6"/>
    <w:rsid w:val="004E789F"/>
    <w:rsid w:val="004E7EBF"/>
    <w:rsid w:val="004F09A8"/>
    <w:rsid w:val="004F0A37"/>
    <w:rsid w:val="004F0BEE"/>
    <w:rsid w:val="004F0F1B"/>
    <w:rsid w:val="004F0F95"/>
    <w:rsid w:val="004F12C0"/>
    <w:rsid w:val="004F18B2"/>
    <w:rsid w:val="004F21EC"/>
    <w:rsid w:val="004F49D3"/>
    <w:rsid w:val="004F4A1C"/>
    <w:rsid w:val="004F5450"/>
    <w:rsid w:val="004F54F1"/>
    <w:rsid w:val="004F5842"/>
    <w:rsid w:val="004F595D"/>
    <w:rsid w:val="004F5D27"/>
    <w:rsid w:val="004F6DFF"/>
    <w:rsid w:val="004F6E49"/>
    <w:rsid w:val="004F76DC"/>
    <w:rsid w:val="00501279"/>
    <w:rsid w:val="00501BE0"/>
    <w:rsid w:val="00501D7C"/>
    <w:rsid w:val="005026A9"/>
    <w:rsid w:val="00502B13"/>
    <w:rsid w:val="00503099"/>
    <w:rsid w:val="005035FD"/>
    <w:rsid w:val="00503DE1"/>
    <w:rsid w:val="00504ADC"/>
    <w:rsid w:val="00504DFF"/>
    <w:rsid w:val="00505615"/>
    <w:rsid w:val="00505876"/>
    <w:rsid w:val="00505D77"/>
    <w:rsid w:val="00506F83"/>
    <w:rsid w:val="00507417"/>
    <w:rsid w:val="0051072A"/>
    <w:rsid w:val="005107FB"/>
    <w:rsid w:val="00510991"/>
    <w:rsid w:val="00510E9C"/>
    <w:rsid w:val="0051125F"/>
    <w:rsid w:val="0051334E"/>
    <w:rsid w:val="005133EF"/>
    <w:rsid w:val="00514260"/>
    <w:rsid w:val="005148C1"/>
    <w:rsid w:val="00514FD6"/>
    <w:rsid w:val="0051533F"/>
    <w:rsid w:val="005153F0"/>
    <w:rsid w:val="00515889"/>
    <w:rsid w:val="00515960"/>
    <w:rsid w:val="005168F8"/>
    <w:rsid w:val="00516F60"/>
    <w:rsid w:val="005178EC"/>
    <w:rsid w:val="0051793E"/>
    <w:rsid w:val="00517A6D"/>
    <w:rsid w:val="00520B9B"/>
    <w:rsid w:val="00521A67"/>
    <w:rsid w:val="00521BE8"/>
    <w:rsid w:val="00522066"/>
    <w:rsid w:val="0052224F"/>
    <w:rsid w:val="00522379"/>
    <w:rsid w:val="005225A6"/>
    <w:rsid w:val="00522AFF"/>
    <w:rsid w:val="0052372C"/>
    <w:rsid w:val="005244BD"/>
    <w:rsid w:val="00525A34"/>
    <w:rsid w:val="0052620E"/>
    <w:rsid w:val="00526832"/>
    <w:rsid w:val="005279AB"/>
    <w:rsid w:val="00527C9F"/>
    <w:rsid w:val="005300DF"/>
    <w:rsid w:val="00530372"/>
    <w:rsid w:val="00531C21"/>
    <w:rsid w:val="005336BC"/>
    <w:rsid w:val="005336C4"/>
    <w:rsid w:val="00535F8A"/>
    <w:rsid w:val="0053629C"/>
    <w:rsid w:val="005368F1"/>
    <w:rsid w:val="005368FC"/>
    <w:rsid w:val="00536C4F"/>
    <w:rsid w:val="00536CEA"/>
    <w:rsid w:val="00537009"/>
    <w:rsid w:val="005372A2"/>
    <w:rsid w:val="0053737A"/>
    <w:rsid w:val="00537462"/>
    <w:rsid w:val="005379BF"/>
    <w:rsid w:val="005379F9"/>
    <w:rsid w:val="005400D5"/>
    <w:rsid w:val="0054015C"/>
    <w:rsid w:val="00541FDE"/>
    <w:rsid w:val="00542A31"/>
    <w:rsid w:val="00542E4C"/>
    <w:rsid w:val="00543B65"/>
    <w:rsid w:val="00543C6A"/>
    <w:rsid w:val="005441A6"/>
    <w:rsid w:val="005448AA"/>
    <w:rsid w:val="00545606"/>
    <w:rsid w:val="00545608"/>
    <w:rsid w:val="005469FF"/>
    <w:rsid w:val="00547050"/>
    <w:rsid w:val="0055062D"/>
    <w:rsid w:val="00552274"/>
    <w:rsid w:val="00552316"/>
    <w:rsid w:val="005525E1"/>
    <w:rsid w:val="00552871"/>
    <w:rsid w:val="00552A0D"/>
    <w:rsid w:val="00552FD7"/>
    <w:rsid w:val="005540E7"/>
    <w:rsid w:val="0055562C"/>
    <w:rsid w:val="005560FD"/>
    <w:rsid w:val="00556766"/>
    <w:rsid w:val="005608CD"/>
    <w:rsid w:val="00560DFF"/>
    <w:rsid w:val="00560F40"/>
    <w:rsid w:val="005612C2"/>
    <w:rsid w:val="00562922"/>
    <w:rsid w:val="00562F3B"/>
    <w:rsid w:val="00563674"/>
    <w:rsid w:val="005638A9"/>
    <w:rsid w:val="00563973"/>
    <w:rsid w:val="005642B4"/>
    <w:rsid w:val="005642C8"/>
    <w:rsid w:val="005643EC"/>
    <w:rsid w:val="00564A41"/>
    <w:rsid w:val="005655A5"/>
    <w:rsid w:val="005657E0"/>
    <w:rsid w:val="00565A9E"/>
    <w:rsid w:val="005663E9"/>
    <w:rsid w:val="005664C0"/>
    <w:rsid w:val="005707CB"/>
    <w:rsid w:val="00570EF3"/>
    <w:rsid w:val="00571E33"/>
    <w:rsid w:val="00571F7C"/>
    <w:rsid w:val="0057225D"/>
    <w:rsid w:val="00572D09"/>
    <w:rsid w:val="005738E5"/>
    <w:rsid w:val="0057424F"/>
    <w:rsid w:val="00574F28"/>
    <w:rsid w:val="00575044"/>
    <w:rsid w:val="005751F8"/>
    <w:rsid w:val="005754D2"/>
    <w:rsid w:val="00575862"/>
    <w:rsid w:val="00575E02"/>
    <w:rsid w:val="00575FD4"/>
    <w:rsid w:val="0057693B"/>
    <w:rsid w:val="00576B28"/>
    <w:rsid w:val="00576F03"/>
    <w:rsid w:val="00577585"/>
    <w:rsid w:val="00577C1E"/>
    <w:rsid w:val="00580030"/>
    <w:rsid w:val="00580121"/>
    <w:rsid w:val="00580636"/>
    <w:rsid w:val="0058097B"/>
    <w:rsid w:val="00580F1B"/>
    <w:rsid w:val="00582071"/>
    <w:rsid w:val="005823D9"/>
    <w:rsid w:val="00582BC1"/>
    <w:rsid w:val="00583F80"/>
    <w:rsid w:val="00584989"/>
    <w:rsid w:val="00584D1A"/>
    <w:rsid w:val="00585B25"/>
    <w:rsid w:val="00586848"/>
    <w:rsid w:val="005879CD"/>
    <w:rsid w:val="00587C4E"/>
    <w:rsid w:val="005900FE"/>
    <w:rsid w:val="00590B50"/>
    <w:rsid w:val="005920D0"/>
    <w:rsid w:val="0059258F"/>
    <w:rsid w:val="00592C6B"/>
    <w:rsid w:val="00594003"/>
    <w:rsid w:val="0059403B"/>
    <w:rsid w:val="00594611"/>
    <w:rsid w:val="005946F4"/>
    <w:rsid w:val="005956B9"/>
    <w:rsid w:val="00597105"/>
    <w:rsid w:val="00597401"/>
    <w:rsid w:val="005A10F1"/>
    <w:rsid w:val="005A18EF"/>
    <w:rsid w:val="005A1C00"/>
    <w:rsid w:val="005A1C1E"/>
    <w:rsid w:val="005A20AE"/>
    <w:rsid w:val="005A22C8"/>
    <w:rsid w:val="005A2A05"/>
    <w:rsid w:val="005A2BDF"/>
    <w:rsid w:val="005A2E67"/>
    <w:rsid w:val="005A3873"/>
    <w:rsid w:val="005A41EE"/>
    <w:rsid w:val="005A429E"/>
    <w:rsid w:val="005A56E7"/>
    <w:rsid w:val="005A5AE4"/>
    <w:rsid w:val="005A5EC0"/>
    <w:rsid w:val="005A6310"/>
    <w:rsid w:val="005A6688"/>
    <w:rsid w:val="005A6CE5"/>
    <w:rsid w:val="005A7DCF"/>
    <w:rsid w:val="005B0004"/>
    <w:rsid w:val="005B0236"/>
    <w:rsid w:val="005B0AD5"/>
    <w:rsid w:val="005B0F06"/>
    <w:rsid w:val="005B10D0"/>
    <w:rsid w:val="005B1AC2"/>
    <w:rsid w:val="005B1BF4"/>
    <w:rsid w:val="005B3049"/>
    <w:rsid w:val="005B3A7C"/>
    <w:rsid w:val="005B3C87"/>
    <w:rsid w:val="005B52A2"/>
    <w:rsid w:val="005B56A3"/>
    <w:rsid w:val="005B5908"/>
    <w:rsid w:val="005B6202"/>
    <w:rsid w:val="005B62CD"/>
    <w:rsid w:val="005B648C"/>
    <w:rsid w:val="005B6E85"/>
    <w:rsid w:val="005B7235"/>
    <w:rsid w:val="005B724A"/>
    <w:rsid w:val="005B7549"/>
    <w:rsid w:val="005C080F"/>
    <w:rsid w:val="005C19B9"/>
    <w:rsid w:val="005C1B30"/>
    <w:rsid w:val="005C1C9C"/>
    <w:rsid w:val="005C1EBA"/>
    <w:rsid w:val="005C2D21"/>
    <w:rsid w:val="005C2F44"/>
    <w:rsid w:val="005C337E"/>
    <w:rsid w:val="005C3627"/>
    <w:rsid w:val="005C39B0"/>
    <w:rsid w:val="005C4339"/>
    <w:rsid w:val="005C4AA0"/>
    <w:rsid w:val="005C4B2E"/>
    <w:rsid w:val="005C4C76"/>
    <w:rsid w:val="005C4FC9"/>
    <w:rsid w:val="005C5C84"/>
    <w:rsid w:val="005C5F5F"/>
    <w:rsid w:val="005C62B7"/>
    <w:rsid w:val="005C6B7A"/>
    <w:rsid w:val="005C7321"/>
    <w:rsid w:val="005C74A0"/>
    <w:rsid w:val="005D01D6"/>
    <w:rsid w:val="005D03BC"/>
    <w:rsid w:val="005D2BA3"/>
    <w:rsid w:val="005D2C1D"/>
    <w:rsid w:val="005D34F5"/>
    <w:rsid w:val="005D3B5B"/>
    <w:rsid w:val="005D60DD"/>
    <w:rsid w:val="005D62F8"/>
    <w:rsid w:val="005D641C"/>
    <w:rsid w:val="005D6C71"/>
    <w:rsid w:val="005D6F2A"/>
    <w:rsid w:val="005E07C3"/>
    <w:rsid w:val="005E0912"/>
    <w:rsid w:val="005E09BA"/>
    <w:rsid w:val="005E0B12"/>
    <w:rsid w:val="005E1446"/>
    <w:rsid w:val="005E15E6"/>
    <w:rsid w:val="005E1C4E"/>
    <w:rsid w:val="005E1FDA"/>
    <w:rsid w:val="005E2AB2"/>
    <w:rsid w:val="005E46CC"/>
    <w:rsid w:val="005E490C"/>
    <w:rsid w:val="005E4BB3"/>
    <w:rsid w:val="005E4D97"/>
    <w:rsid w:val="005E58C1"/>
    <w:rsid w:val="005E6B6C"/>
    <w:rsid w:val="005E6BA0"/>
    <w:rsid w:val="005E70E4"/>
    <w:rsid w:val="005E71CB"/>
    <w:rsid w:val="005E7D56"/>
    <w:rsid w:val="005F134B"/>
    <w:rsid w:val="005F165E"/>
    <w:rsid w:val="005F2562"/>
    <w:rsid w:val="005F2B46"/>
    <w:rsid w:val="005F300B"/>
    <w:rsid w:val="005F3878"/>
    <w:rsid w:val="005F3DE8"/>
    <w:rsid w:val="005F42B7"/>
    <w:rsid w:val="005F42D9"/>
    <w:rsid w:val="005F47B6"/>
    <w:rsid w:val="005F5B1F"/>
    <w:rsid w:val="005F621D"/>
    <w:rsid w:val="005F6585"/>
    <w:rsid w:val="005F6732"/>
    <w:rsid w:val="005F6BA6"/>
    <w:rsid w:val="005F6BC5"/>
    <w:rsid w:val="00601F37"/>
    <w:rsid w:val="00602EFD"/>
    <w:rsid w:val="00603482"/>
    <w:rsid w:val="00604BFD"/>
    <w:rsid w:val="00605037"/>
    <w:rsid w:val="006058B1"/>
    <w:rsid w:val="00605A93"/>
    <w:rsid w:val="00605DDB"/>
    <w:rsid w:val="006067F7"/>
    <w:rsid w:val="00606A24"/>
    <w:rsid w:val="00606E2E"/>
    <w:rsid w:val="006077A9"/>
    <w:rsid w:val="00607E06"/>
    <w:rsid w:val="00607F99"/>
    <w:rsid w:val="00610612"/>
    <w:rsid w:val="00610667"/>
    <w:rsid w:val="00610B03"/>
    <w:rsid w:val="006113AE"/>
    <w:rsid w:val="006118CB"/>
    <w:rsid w:val="00611B83"/>
    <w:rsid w:val="006124DE"/>
    <w:rsid w:val="00612F29"/>
    <w:rsid w:val="00613925"/>
    <w:rsid w:val="0061470A"/>
    <w:rsid w:val="006147D3"/>
    <w:rsid w:val="00614CD5"/>
    <w:rsid w:val="006152B3"/>
    <w:rsid w:val="006157CE"/>
    <w:rsid w:val="00615C13"/>
    <w:rsid w:val="00615C9E"/>
    <w:rsid w:val="00616900"/>
    <w:rsid w:val="006175DE"/>
    <w:rsid w:val="0061789C"/>
    <w:rsid w:val="006201A4"/>
    <w:rsid w:val="00620243"/>
    <w:rsid w:val="00620F92"/>
    <w:rsid w:val="006211E4"/>
    <w:rsid w:val="0062123C"/>
    <w:rsid w:val="00621D64"/>
    <w:rsid w:val="0062276B"/>
    <w:rsid w:val="006233CA"/>
    <w:rsid w:val="00623AAF"/>
    <w:rsid w:val="006241A5"/>
    <w:rsid w:val="00624480"/>
    <w:rsid w:val="0062460E"/>
    <w:rsid w:val="0062500C"/>
    <w:rsid w:val="006258DB"/>
    <w:rsid w:val="00625A16"/>
    <w:rsid w:val="006263CD"/>
    <w:rsid w:val="00626836"/>
    <w:rsid w:val="0062715B"/>
    <w:rsid w:val="0062716F"/>
    <w:rsid w:val="00627956"/>
    <w:rsid w:val="00627E43"/>
    <w:rsid w:val="0063004B"/>
    <w:rsid w:val="006306D4"/>
    <w:rsid w:val="00631899"/>
    <w:rsid w:val="006323FE"/>
    <w:rsid w:val="00633384"/>
    <w:rsid w:val="00633533"/>
    <w:rsid w:val="0063361F"/>
    <w:rsid w:val="0063370F"/>
    <w:rsid w:val="00633F42"/>
    <w:rsid w:val="006340FF"/>
    <w:rsid w:val="00634501"/>
    <w:rsid w:val="0063460E"/>
    <w:rsid w:val="00634BE8"/>
    <w:rsid w:val="00635388"/>
    <w:rsid w:val="00636F44"/>
    <w:rsid w:val="0064086E"/>
    <w:rsid w:val="006409AA"/>
    <w:rsid w:val="00641D8B"/>
    <w:rsid w:val="00643191"/>
    <w:rsid w:val="006437A9"/>
    <w:rsid w:val="00643896"/>
    <w:rsid w:val="00643D63"/>
    <w:rsid w:val="00643DDE"/>
    <w:rsid w:val="0064407B"/>
    <w:rsid w:val="00645054"/>
    <w:rsid w:val="00645EAA"/>
    <w:rsid w:val="00645F1F"/>
    <w:rsid w:val="00646F43"/>
    <w:rsid w:val="00647FF1"/>
    <w:rsid w:val="006512B0"/>
    <w:rsid w:val="00652744"/>
    <w:rsid w:val="006527F1"/>
    <w:rsid w:val="00652B60"/>
    <w:rsid w:val="006531AE"/>
    <w:rsid w:val="0065346E"/>
    <w:rsid w:val="00653853"/>
    <w:rsid w:val="00653A14"/>
    <w:rsid w:val="00653D26"/>
    <w:rsid w:val="00653FFA"/>
    <w:rsid w:val="00654FD4"/>
    <w:rsid w:val="0065508F"/>
    <w:rsid w:val="00655434"/>
    <w:rsid w:val="006554DA"/>
    <w:rsid w:val="00655A35"/>
    <w:rsid w:val="00655EF4"/>
    <w:rsid w:val="006561D7"/>
    <w:rsid w:val="00657017"/>
    <w:rsid w:val="006575C2"/>
    <w:rsid w:val="006576FE"/>
    <w:rsid w:val="00657816"/>
    <w:rsid w:val="006578AD"/>
    <w:rsid w:val="00660399"/>
    <w:rsid w:val="006605C6"/>
    <w:rsid w:val="00661473"/>
    <w:rsid w:val="006614E5"/>
    <w:rsid w:val="00661DD8"/>
    <w:rsid w:val="00661F15"/>
    <w:rsid w:val="0066273E"/>
    <w:rsid w:val="00662D62"/>
    <w:rsid w:val="00663105"/>
    <w:rsid w:val="0066399A"/>
    <w:rsid w:val="006639A8"/>
    <w:rsid w:val="00664183"/>
    <w:rsid w:val="006656A6"/>
    <w:rsid w:val="00665C01"/>
    <w:rsid w:val="00667D36"/>
    <w:rsid w:val="0067098F"/>
    <w:rsid w:val="00671471"/>
    <w:rsid w:val="006716C0"/>
    <w:rsid w:val="00671BFA"/>
    <w:rsid w:val="00672001"/>
    <w:rsid w:val="006726F3"/>
    <w:rsid w:val="006728E5"/>
    <w:rsid w:val="0067454F"/>
    <w:rsid w:val="0067488D"/>
    <w:rsid w:val="006748AA"/>
    <w:rsid w:val="00674E76"/>
    <w:rsid w:val="00676C5B"/>
    <w:rsid w:val="00677829"/>
    <w:rsid w:val="0068068C"/>
    <w:rsid w:val="0068091D"/>
    <w:rsid w:val="00681502"/>
    <w:rsid w:val="0068217F"/>
    <w:rsid w:val="0068233B"/>
    <w:rsid w:val="00682579"/>
    <w:rsid w:val="00682893"/>
    <w:rsid w:val="00682D55"/>
    <w:rsid w:val="00683272"/>
    <w:rsid w:val="00683657"/>
    <w:rsid w:val="006839BF"/>
    <w:rsid w:val="00683C3B"/>
    <w:rsid w:val="00683F1A"/>
    <w:rsid w:val="00684096"/>
    <w:rsid w:val="0068496B"/>
    <w:rsid w:val="00685261"/>
    <w:rsid w:val="00685914"/>
    <w:rsid w:val="00690721"/>
    <w:rsid w:val="0069114D"/>
    <w:rsid w:val="00693A6B"/>
    <w:rsid w:val="00693EFC"/>
    <w:rsid w:val="00693F0F"/>
    <w:rsid w:val="0069412B"/>
    <w:rsid w:val="00694C2D"/>
    <w:rsid w:val="00694CDE"/>
    <w:rsid w:val="006963DD"/>
    <w:rsid w:val="006965B4"/>
    <w:rsid w:val="0069674E"/>
    <w:rsid w:val="00696ABC"/>
    <w:rsid w:val="00696BB7"/>
    <w:rsid w:val="0069751F"/>
    <w:rsid w:val="00697595"/>
    <w:rsid w:val="006A073E"/>
    <w:rsid w:val="006A1835"/>
    <w:rsid w:val="006A1AF1"/>
    <w:rsid w:val="006A3F46"/>
    <w:rsid w:val="006A4B3A"/>
    <w:rsid w:val="006A54B6"/>
    <w:rsid w:val="006A5AA9"/>
    <w:rsid w:val="006B0C66"/>
    <w:rsid w:val="006B1197"/>
    <w:rsid w:val="006B133F"/>
    <w:rsid w:val="006B16D8"/>
    <w:rsid w:val="006B1924"/>
    <w:rsid w:val="006B1AFB"/>
    <w:rsid w:val="006B1B87"/>
    <w:rsid w:val="006B1FC8"/>
    <w:rsid w:val="006B26D2"/>
    <w:rsid w:val="006B2A5F"/>
    <w:rsid w:val="006B315B"/>
    <w:rsid w:val="006B42C8"/>
    <w:rsid w:val="006B43A5"/>
    <w:rsid w:val="006B4A96"/>
    <w:rsid w:val="006B58C0"/>
    <w:rsid w:val="006B5F15"/>
    <w:rsid w:val="006B6326"/>
    <w:rsid w:val="006B6BD7"/>
    <w:rsid w:val="006B708A"/>
    <w:rsid w:val="006B75AA"/>
    <w:rsid w:val="006B7D9E"/>
    <w:rsid w:val="006C1482"/>
    <w:rsid w:val="006C14A4"/>
    <w:rsid w:val="006C202C"/>
    <w:rsid w:val="006C2F20"/>
    <w:rsid w:val="006C3C49"/>
    <w:rsid w:val="006C405A"/>
    <w:rsid w:val="006C41EF"/>
    <w:rsid w:val="006C553E"/>
    <w:rsid w:val="006C6218"/>
    <w:rsid w:val="006C66EE"/>
    <w:rsid w:val="006C6A74"/>
    <w:rsid w:val="006C6D2A"/>
    <w:rsid w:val="006C78AD"/>
    <w:rsid w:val="006C7AA9"/>
    <w:rsid w:val="006C7B29"/>
    <w:rsid w:val="006D0742"/>
    <w:rsid w:val="006D07BA"/>
    <w:rsid w:val="006D1407"/>
    <w:rsid w:val="006D1789"/>
    <w:rsid w:val="006D2381"/>
    <w:rsid w:val="006D25F3"/>
    <w:rsid w:val="006D3274"/>
    <w:rsid w:val="006D345B"/>
    <w:rsid w:val="006D352B"/>
    <w:rsid w:val="006D365D"/>
    <w:rsid w:val="006D3707"/>
    <w:rsid w:val="006D3B1E"/>
    <w:rsid w:val="006D3C22"/>
    <w:rsid w:val="006D3DB2"/>
    <w:rsid w:val="006D3F48"/>
    <w:rsid w:val="006D48BB"/>
    <w:rsid w:val="006D5ED3"/>
    <w:rsid w:val="006D6115"/>
    <w:rsid w:val="006D6472"/>
    <w:rsid w:val="006D72E0"/>
    <w:rsid w:val="006D75EC"/>
    <w:rsid w:val="006D7C2D"/>
    <w:rsid w:val="006E0B87"/>
    <w:rsid w:val="006E160E"/>
    <w:rsid w:val="006E1935"/>
    <w:rsid w:val="006E2D8B"/>
    <w:rsid w:val="006E2EEE"/>
    <w:rsid w:val="006E4216"/>
    <w:rsid w:val="006E4609"/>
    <w:rsid w:val="006E47DC"/>
    <w:rsid w:val="006E4F05"/>
    <w:rsid w:val="006E609C"/>
    <w:rsid w:val="006E63F4"/>
    <w:rsid w:val="006E667A"/>
    <w:rsid w:val="006E759C"/>
    <w:rsid w:val="006F00F3"/>
    <w:rsid w:val="006F103C"/>
    <w:rsid w:val="006F17A0"/>
    <w:rsid w:val="006F1B57"/>
    <w:rsid w:val="006F1EF4"/>
    <w:rsid w:val="006F254A"/>
    <w:rsid w:val="006F2C65"/>
    <w:rsid w:val="006F2D66"/>
    <w:rsid w:val="006F2F38"/>
    <w:rsid w:val="006F3A42"/>
    <w:rsid w:val="006F4253"/>
    <w:rsid w:val="006F610D"/>
    <w:rsid w:val="006F63ED"/>
    <w:rsid w:val="00700178"/>
    <w:rsid w:val="007004E5"/>
    <w:rsid w:val="00700BC8"/>
    <w:rsid w:val="00701863"/>
    <w:rsid w:val="00702076"/>
    <w:rsid w:val="00702306"/>
    <w:rsid w:val="0070248E"/>
    <w:rsid w:val="0070292E"/>
    <w:rsid w:val="00703147"/>
    <w:rsid w:val="00703741"/>
    <w:rsid w:val="007038B3"/>
    <w:rsid w:val="00703D9C"/>
    <w:rsid w:val="007042E4"/>
    <w:rsid w:val="00704645"/>
    <w:rsid w:val="007053A7"/>
    <w:rsid w:val="00705663"/>
    <w:rsid w:val="007056EE"/>
    <w:rsid w:val="00705D98"/>
    <w:rsid w:val="00706584"/>
    <w:rsid w:val="007066DD"/>
    <w:rsid w:val="00707739"/>
    <w:rsid w:val="00707FE5"/>
    <w:rsid w:val="00710A2A"/>
    <w:rsid w:val="0071124C"/>
    <w:rsid w:val="0071288B"/>
    <w:rsid w:val="00712C1D"/>
    <w:rsid w:val="00713475"/>
    <w:rsid w:val="0071574F"/>
    <w:rsid w:val="007160CD"/>
    <w:rsid w:val="0071759F"/>
    <w:rsid w:val="00720C36"/>
    <w:rsid w:val="00720F1B"/>
    <w:rsid w:val="00721065"/>
    <w:rsid w:val="007212AF"/>
    <w:rsid w:val="00723130"/>
    <w:rsid w:val="007238CA"/>
    <w:rsid w:val="00723F8B"/>
    <w:rsid w:val="007240E8"/>
    <w:rsid w:val="007254CA"/>
    <w:rsid w:val="007258FF"/>
    <w:rsid w:val="0072622A"/>
    <w:rsid w:val="007266B6"/>
    <w:rsid w:val="00727513"/>
    <w:rsid w:val="00727E3A"/>
    <w:rsid w:val="00730943"/>
    <w:rsid w:val="00730B69"/>
    <w:rsid w:val="00730EC7"/>
    <w:rsid w:val="007314F0"/>
    <w:rsid w:val="0073156E"/>
    <w:rsid w:val="007316FC"/>
    <w:rsid w:val="00731EA4"/>
    <w:rsid w:val="007320A3"/>
    <w:rsid w:val="007330C0"/>
    <w:rsid w:val="00733FDB"/>
    <w:rsid w:val="007344D7"/>
    <w:rsid w:val="00734959"/>
    <w:rsid w:val="00734996"/>
    <w:rsid w:val="00734BB3"/>
    <w:rsid w:val="007350FC"/>
    <w:rsid w:val="00735345"/>
    <w:rsid w:val="0073548B"/>
    <w:rsid w:val="007357E0"/>
    <w:rsid w:val="00735FC2"/>
    <w:rsid w:val="007361DF"/>
    <w:rsid w:val="007366D2"/>
    <w:rsid w:val="00736B55"/>
    <w:rsid w:val="00740096"/>
    <w:rsid w:val="007402D6"/>
    <w:rsid w:val="0074052B"/>
    <w:rsid w:val="007408BD"/>
    <w:rsid w:val="0074099F"/>
    <w:rsid w:val="00741362"/>
    <w:rsid w:val="007419A0"/>
    <w:rsid w:val="007423E2"/>
    <w:rsid w:val="007429A7"/>
    <w:rsid w:val="00742EEC"/>
    <w:rsid w:val="00742F32"/>
    <w:rsid w:val="00743612"/>
    <w:rsid w:val="007439AB"/>
    <w:rsid w:val="00743D23"/>
    <w:rsid w:val="00744D19"/>
    <w:rsid w:val="00745BDA"/>
    <w:rsid w:val="00746999"/>
    <w:rsid w:val="00747A6D"/>
    <w:rsid w:val="00750CEE"/>
    <w:rsid w:val="00751061"/>
    <w:rsid w:val="00753063"/>
    <w:rsid w:val="007535C0"/>
    <w:rsid w:val="007536E9"/>
    <w:rsid w:val="00753D3E"/>
    <w:rsid w:val="00753FAA"/>
    <w:rsid w:val="00754152"/>
    <w:rsid w:val="007543BA"/>
    <w:rsid w:val="0075446C"/>
    <w:rsid w:val="007545EB"/>
    <w:rsid w:val="007546E4"/>
    <w:rsid w:val="00754837"/>
    <w:rsid w:val="007548DA"/>
    <w:rsid w:val="007553CC"/>
    <w:rsid w:val="00755D15"/>
    <w:rsid w:val="00756862"/>
    <w:rsid w:val="00756B21"/>
    <w:rsid w:val="00757FA4"/>
    <w:rsid w:val="007601B2"/>
    <w:rsid w:val="00760AB4"/>
    <w:rsid w:val="00760B61"/>
    <w:rsid w:val="00760BDA"/>
    <w:rsid w:val="00760F41"/>
    <w:rsid w:val="00760FCD"/>
    <w:rsid w:val="00761693"/>
    <w:rsid w:val="007616A5"/>
    <w:rsid w:val="00761F4D"/>
    <w:rsid w:val="00762972"/>
    <w:rsid w:val="00763469"/>
    <w:rsid w:val="0076409D"/>
    <w:rsid w:val="00764660"/>
    <w:rsid w:val="00764937"/>
    <w:rsid w:val="00764B92"/>
    <w:rsid w:val="00764D74"/>
    <w:rsid w:val="007654B2"/>
    <w:rsid w:val="00766554"/>
    <w:rsid w:val="00767723"/>
    <w:rsid w:val="00770121"/>
    <w:rsid w:val="0077079F"/>
    <w:rsid w:val="0077216F"/>
    <w:rsid w:val="007725F3"/>
    <w:rsid w:val="00772B94"/>
    <w:rsid w:val="00773514"/>
    <w:rsid w:val="0077373E"/>
    <w:rsid w:val="0077417B"/>
    <w:rsid w:val="00774ED9"/>
    <w:rsid w:val="00774FAD"/>
    <w:rsid w:val="00776338"/>
    <w:rsid w:val="00776704"/>
    <w:rsid w:val="00776A8F"/>
    <w:rsid w:val="007770E1"/>
    <w:rsid w:val="007775D6"/>
    <w:rsid w:val="00777638"/>
    <w:rsid w:val="007776F2"/>
    <w:rsid w:val="007800DA"/>
    <w:rsid w:val="00780779"/>
    <w:rsid w:val="00780783"/>
    <w:rsid w:val="007808A7"/>
    <w:rsid w:val="00780E4C"/>
    <w:rsid w:val="00781641"/>
    <w:rsid w:val="00781B45"/>
    <w:rsid w:val="00781D75"/>
    <w:rsid w:val="007828E4"/>
    <w:rsid w:val="00782A6D"/>
    <w:rsid w:val="00782B73"/>
    <w:rsid w:val="00782DF8"/>
    <w:rsid w:val="00784432"/>
    <w:rsid w:val="00784872"/>
    <w:rsid w:val="00785997"/>
    <w:rsid w:val="00785A62"/>
    <w:rsid w:val="00786111"/>
    <w:rsid w:val="007866BB"/>
    <w:rsid w:val="00787DE6"/>
    <w:rsid w:val="0079046C"/>
    <w:rsid w:val="0079075D"/>
    <w:rsid w:val="00790DD1"/>
    <w:rsid w:val="00791119"/>
    <w:rsid w:val="007911E7"/>
    <w:rsid w:val="00791ECF"/>
    <w:rsid w:val="00791FA9"/>
    <w:rsid w:val="00792DD4"/>
    <w:rsid w:val="007932B7"/>
    <w:rsid w:val="00793473"/>
    <w:rsid w:val="00794AF0"/>
    <w:rsid w:val="007959D2"/>
    <w:rsid w:val="00795B42"/>
    <w:rsid w:val="007962B0"/>
    <w:rsid w:val="00796638"/>
    <w:rsid w:val="00796A58"/>
    <w:rsid w:val="00796B09"/>
    <w:rsid w:val="00796EC8"/>
    <w:rsid w:val="00796FB1"/>
    <w:rsid w:val="007977D8"/>
    <w:rsid w:val="00797A0A"/>
    <w:rsid w:val="00797AD2"/>
    <w:rsid w:val="007A0118"/>
    <w:rsid w:val="007A0F1D"/>
    <w:rsid w:val="007A0F6F"/>
    <w:rsid w:val="007A12C1"/>
    <w:rsid w:val="007A1473"/>
    <w:rsid w:val="007A1758"/>
    <w:rsid w:val="007A1862"/>
    <w:rsid w:val="007A19CF"/>
    <w:rsid w:val="007A1EC9"/>
    <w:rsid w:val="007A26D0"/>
    <w:rsid w:val="007A2D4E"/>
    <w:rsid w:val="007A2E57"/>
    <w:rsid w:val="007A302C"/>
    <w:rsid w:val="007A3103"/>
    <w:rsid w:val="007A4BF0"/>
    <w:rsid w:val="007A5991"/>
    <w:rsid w:val="007A6299"/>
    <w:rsid w:val="007A6816"/>
    <w:rsid w:val="007A6D81"/>
    <w:rsid w:val="007A6E42"/>
    <w:rsid w:val="007B0894"/>
    <w:rsid w:val="007B18CF"/>
    <w:rsid w:val="007B2294"/>
    <w:rsid w:val="007B3017"/>
    <w:rsid w:val="007B3649"/>
    <w:rsid w:val="007B36F2"/>
    <w:rsid w:val="007B42F2"/>
    <w:rsid w:val="007B45E8"/>
    <w:rsid w:val="007B46BE"/>
    <w:rsid w:val="007B4A7F"/>
    <w:rsid w:val="007B4C80"/>
    <w:rsid w:val="007B5A65"/>
    <w:rsid w:val="007B5AA3"/>
    <w:rsid w:val="007B5B21"/>
    <w:rsid w:val="007B6BB5"/>
    <w:rsid w:val="007B7453"/>
    <w:rsid w:val="007B78AA"/>
    <w:rsid w:val="007B7C38"/>
    <w:rsid w:val="007B7D21"/>
    <w:rsid w:val="007C0639"/>
    <w:rsid w:val="007C0B02"/>
    <w:rsid w:val="007C0FA0"/>
    <w:rsid w:val="007C1DB9"/>
    <w:rsid w:val="007C2949"/>
    <w:rsid w:val="007C2EF8"/>
    <w:rsid w:val="007C2FDC"/>
    <w:rsid w:val="007C3515"/>
    <w:rsid w:val="007C373F"/>
    <w:rsid w:val="007C3C91"/>
    <w:rsid w:val="007C41B6"/>
    <w:rsid w:val="007C4719"/>
    <w:rsid w:val="007C5F0F"/>
    <w:rsid w:val="007C5FF1"/>
    <w:rsid w:val="007C7440"/>
    <w:rsid w:val="007C7CCF"/>
    <w:rsid w:val="007D0408"/>
    <w:rsid w:val="007D0BDD"/>
    <w:rsid w:val="007D0FDE"/>
    <w:rsid w:val="007D10B5"/>
    <w:rsid w:val="007D198E"/>
    <w:rsid w:val="007D1F70"/>
    <w:rsid w:val="007D26DD"/>
    <w:rsid w:val="007D5D44"/>
    <w:rsid w:val="007D6226"/>
    <w:rsid w:val="007D679A"/>
    <w:rsid w:val="007D6C04"/>
    <w:rsid w:val="007D6C3E"/>
    <w:rsid w:val="007D7928"/>
    <w:rsid w:val="007E11DF"/>
    <w:rsid w:val="007E207A"/>
    <w:rsid w:val="007E26DA"/>
    <w:rsid w:val="007E3B95"/>
    <w:rsid w:val="007E4A94"/>
    <w:rsid w:val="007E5115"/>
    <w:rsid w:val="007E644D"/>
    <w:rsid w:val="007E785C"/>
    <w:rsid w:val="007E7DA1"/>
    <w:rsid w:val="007F015A"/>
    <w:rsid w:val="007F0578"/>
    <w:rsid w:val="007F0DB1"/>
    <w:rsid w:val="007F0F95"/>
    <w:rsid w:val="007F10E5"/>
    <w:rsid w:val="007F26AC"/>
    <w:rsid w:val="007F5674"/>
    <w:rsid w:val="007F57E1"/>
    <w:rsid w:val="007F5D1E"/>
    <w:rsid w:val="007F5EA6"/>
    <w:rsid w:val="007F6647"/>
    <w:rsid w:val="007F6D10"/>
    <w:rsid w:val="007F6F09"/>
    <w:rsid w:val="007F745E"/>
    <w:rsid w:val="007F7D5E"/>
    <w:rsid w:val="0080010F"/>
    <w:rsid w:val="0080057B"/>
    <w:rsid w:val="0080097F"/>
    <w:rsid w:val="00800B9A"/>
    <w:rsid w:val="00800BF0"/>
    <w:rsid w:val="008013A6"/>
    <w:rsid w:val="00801512"/>
    <w:rsid w:val="0080171F"/>
    <w:rsid w:val="00801D80"/>
    <w:rsid w:val="00801DA6"/>
    <w:rsid w:val="008023D8"/>
    <w:rsid w:val="00802B55"/>
    <w:rsid w:val="00802DD7"/>
    <w:rsid w:val="00803014"/>
    <w:rsid w:val="00803BD0"/>
    <w:rsid w:val="008043F4"/>
    <w:rsid w:val="00804B24"/>
    <w:rsid w:val="00805196"/>
    <w:rsid w:val="008057B3"/>
    <w:rsid w:val="00806DDC"/>
    <w:rsid w:val="00806DE8"/>
    <w:rsid w:val="00807511"/>
    <w:rsid w:val="00807CAE"/>
    <w:rsid w:val="00811283"/>
    <w:rsid w:val="00811E33"/>
    <w:rsid w:val="00812030"/>
    <w:rsid w:val="0081221A"/>
    <w:rsid w:val="008124D6"/>
    <w:rsid w:val="00812D17"/>
    <w:rsid w:val="0081330A"/>
    <w:rsid w:val="00813426"/>
    <w:rsid w:val="00813CBE"/>
    <w:rsid w:val="00813F66"/>
    <w:rsid w:val="008145EE"/>
    <w:rsid w:val="00814658"/>
    <w:rsid w:val="008149F2"/>
    <w:rsid w:val="00814F7B"/>
    <w:rsid w:val="00815F8A"/>
    <w:rsid w:val="00816049"/>
    <w:rsid w:val="008160B8"/>
    <w:rsid w:val="00816983"/>
    <w:rsid w:val="0081727F"/>
    <w:rsid w:val="008176A6"/>
    <w:rsid w:val="00817BD8"/>
    <w:rsid w:val="00817BF8"/>
    <w:rsid w:val="00817C1A"/>
    <w:rsid w:val="00817DA2"/>
    <w:rsid w:val="00820D56"/>
    <w:rsid w:val="00821150"/>
    <w:rsid w:val="00821DC5"/>
    <w:rsid w:val="00821FC3"/>
    <w:rsid w:val="00822066"/>
    <w:rsid w:val="00822C2F"/>
    <w:rsid w:val="0082395A"/>
    <w:rsid w:val="008239E4"/>
    <w:rsid w:val="00824004"/>
    <w:rsid w:val="0082453C"/>
    <w:rsid w:val="008249D3"/>
    <w:rsid w:val="00825D13"/>
    <w:rsid w:val="0082695E"/>
    <w:rsid w:val="00827739"/>
    <w:rsid w:val="0082783A"/>
    <w:rsid w:val="008278C5"/>
    <w:rsid w:val="00827979"/>
    <w:rsid w:val="00827D5C"/>
    <w:rsid w:val="008305B9"/>
    <w:rsid w:val="00831AFC"/>
    <w:rsid w:val="008329EF"/>
    <w:rsid w:val="00832A7B"/>
    <w:rsid w:val="008331D8"/>
    <w:rsid w:val="00833774"/>
    <w:rsid w:val="008337F0"/>
    <w:rsid w:val="008348ED"/>
    <w:rsid w:val="0083596F"/>
    <w:rsid w:val="008359CF"/>
    <w:rsid w:val="008366A7"/>
    <w:rsid w:val="0083677C"/>
    <w:rsid w:val="0083691B"/>
    <w:rsid w:val="008371C0"/>
    <w:rsid w:val="00837441"/>
    <w:rsid w:val="00837B6E"/>
    <w:rsid w:val="00840B77"/>
    <w:rsid w:val="008411DE"/>
    <w:rsid w:val="00841425"/>
    <w:rsid w:val="0084154E"/>
    <w:rsid w:val="008416F2"/>
    <w:rsid w:val="00843639"/>
    <w:rsid w:val="00843AC3"/>
    <w:rsid w:val="00843DB3"/>
    <w:rsid w:val="008440F8"/>
    <w:rsid w:val="008452C7"/>
    <w:rsid w:val="00845DCA"/>
    <w:rsid w:val="008460ED"/>
    <w:rsid w:val="00847167"/>
    <w:rsid w:val="00847255"/>
    <w:rsid w:val="008475E7"/>
    <w:rsid w:val="00847E66"/>
    <w:rsid w:val="00850364"/>
    <w:rsid w:val="00850620"/>
    <w:rsid w:val="00850646"/>
    <w:rsid w:val="00851910"/>
    <w:rsid w:val="0085255D"/>
    <w:rsid w:val="0085274F"/>
    <w:rsid w:val="00852F21"/>
    <w:rsid w:val="00852F8B"/>
    <w:rsid w:val="00853A0C"/>
    <w:rsid w:val="00853AFD"/>
    <w:rsid w:val="00854E0A"/>
    <w:rsid w:val="00854E71"/>
    <w:rsid w:val="0085529B"/>
    <w:rsid w:val="0085548D"/>
    <w:rsid w:val="0085579D"/>
    <w:rsid w:val="00856281"/>
    <w:rsid w:val="00856295"/>
    <w:rsid w:val="00856388"/>
    <w:rsid w:val="0085750F"/>
    <w:rsid w:val="0085758D"/>
    <w:rsid w:val="00857E10"/>
    <w:rsid w:val="0086032D"/>
    <w:rsid w:val="00860916"/>
    <w:rsid w:val="00861731"/>
    <w:rsid w:val="00861AE8"/>
    <w:rsid w:val="00862418"/>
    <w:rsid w:val="00862847"/>
    <w:rsid w:val="00863362"/>
    <w:rsid w:val="00863548"/>
    <w:rsid w:val="00863ABA"/>
    <w:rsid w:val="008642D2"/>
    <w:rsid w:val="00864FDB"/>
    <w:rsid w:val="008664C7"/>
    <w:rsid w:val="0086694C"/>
    <w:rsid w:val="00866D25"/>
    <w:rsid w:val="00866F1C"/>
    <w:rsid w:val="00867141"/>
    <w:rsid w:val="008704C4"/>
    <w:rsid w:val="008709FA"/>
    <w:rsid w:val="00871369"/>
    <w:rsid w:val="00871D0D"/>
    <w:rsid w:val="0087204F"/>
    <w:rsid w:val="00873C0E"/>
    <w:rsid w:val="00873E02"/>
    <w:rsid w:val="00874B96"/>
    <w:rsid w:val="008757E0"/>
    <w:rsid w:val="00875999"/>
    <w:rsid w:val="00875E07"/>
    <w:rsid w:val="008769BA"/>
    <w:rsid w:val="00876CE4"/>
    <w:rsid w:val="008772BA"/>
    <w:rsid w:val="008779EA"/>
    <w:rsid w:val="00877DE9"/>
    <w:rsid w:val="0088194C"/>
    <w:rsid w:val="00881A2F"/>
    <w:rsid w:val="008821C9"/>
    <w:rsid w:val="008825D2"/>
    <w:rsid w:val="00882970"/>
    <w:rsid w:val="00883DC3"/>
    <w:rsid w:val="008846E4"/>
    <w:rsid w:val="008851CC"/>
    <w:rsid w:val="00885903"/>
    <w:rsid w:val="00886171"/>
    <w:rsid w:val="0088626F"/>
    <w:rsid w:val="008862A8"/>
    <w:rsid w:val="008867CD"/>
    <w:rsid w:val="008870D0"/>
    <w:rsid w:val="00887475"/>
    <w:rsid w:val="00887B13"/>
    <w:rsid w:val="00887CF3"/>
    <w:rsid w:val="00890A55"/>
    <w:rsid w:val="00891302"/>
    <w:rsid w:val="00891507"/>
    <w:rsid w:val="00891F30"/>
    <w:rsid w:val="0089278B"/>
    <w:rsid w:val="00892B0A"/>
    <w:rsid w:val="00892CD5"/>
    <w:rsid w:val="00893489"/>
    <w:rsid w:val="00893517"/>
    <w:rsid w:val="00893A64"/>
    <w:rsid w:val="00893EC7"/>
    <w:rsid w:val="00894D80"/>
    <w:rsid w:val="00895087"/>
    <w:rsid w:val="00895158"/>
    <w:rsid w:val="00896DBC"/>
    <w:rsid w:val="00896ECE"/>
    <w:rsid w:val="00896FD1"/>
    <w:rsid w:val="00897130"/>
    <w:rsid w:val="0089768E"/>
    <w:rsid w:val="00897A72"/>
    <w:rsid w:val="00897B87"/>
    <w:rsid w:val="00897BD8"/>
    <w:rsid w:val="00897C1C"/>
    <w:rsid w:val="008A054E"/>
    <w:rsid w:val="008A06F1"/>
    <w:rsid w:val="008A08D1"/>
    <w:rsid w:val="008A0B40"/>
    <w:rsid w:val="008A10CD"/>
    <w:rsid w:val="008A22AC"/>
    <w:rsid w:val="008A419D"/>
    <w:rsid w:val="008A4246"/>
    <w:rsid w:val="008A50F3"/>
    <w:rsid w:val="008A5F59"/>
    <w:rsid w:val="008A680E"/>
    <w:rsid w:val="008A689B"/>
    <w:rsid w:val="008A6B0E"/>
    <w:rsid w:val="008A6DFA"/>
    <w:rsid w:val="008A708A"/>
    <w:rsid w:val="008B0412"/>
    <w:rsid w:val="008B05A9"/>
    <w:rsid w:val="008B117F"/>
    <w:rsid w:val="008B196B"/>
    <w:rsid w:val="008B20D5"/>
    <w:rsid w:val="008B2153"/>
    <w:rsid w:val="008B2A37"/>
    <w:rsid w:val="008B2CC2"/>
    <w:rsid w:val="008B3C05"/>
    <w:rsid w:val="008B5331"/>
    <w:rsid w:val="008B59A8"/>
    <w:rsid w:val="008B5D77"/>
    <w:rsid w:val="008B6701"/>
    <w:rsid w:val="008B6AD0"/>
    <w:rsid w:val="008B70BE"/>
    <w:rsid w:val="008B77DC"/>
    <w:rsid w:val="008B7981"/>
    <w:rsid w:val="008C0930"/>
    <w:rsid w:val="008C0A6C"/>
    <w:rsid w:val="008C2659"/>
    <w:rsid w:val="008C2A3C"/>
    <w:rsid w:val="008C2AE9"/>
    <w:rsid w:val="008C4503"/>
    <w:rsid w:val="008C5416"/>
    <w:rsid w:val="008C6A24"/>
    <w:rsid w:val="008C6C25"/>
    <w:rsid w:val="008C6D49"/>
    <w:rsid w:val="008C73DA"/>
    <w:rsid w:val="008C7805"/>
    <w:rsid w:val="008D00D8"/>
    <w:rsid w:val="008D1118"/>
    <w:rsid w:val="008D11DD"/>
    <w:rsid w:val="008D17FF"/>
    <w:rsid w:val="008D1EC3"/>
    <w:rsid w:val="008D30FD"/>
    <w:rsid w:val="008D3792"/>
    <w:rsid w:val="008D37B6"/>
    <w:rsid w:val="008D48EB"/>
    <w:rsid w:val="008D522F"/>
    <w:rsid w:val="008D6962"/>
    <w:rsid w:val="008D7478"/>
    <w:rsid w:val="008D7B94"/>
    <w:rsid w:val="008D7E0B"/>
    <w:rsid w:val="008E0B36"/>
    <w:rsid w:val="008E0DB9"/>
    <w:rsid w:val="008E1142"/>
    <w:rsid w:val="008E14C2"/>
    <w:rsid w:val="008E1D78"/>
    <w:rsid w:val="008E23D0"/>
    <w:rsid w:val="008E3EC5"/>
    <w:rsid w:val="008E4439"/>
    <w:rsid w:val="008E444F"/>
    <w:rsid w:val="008E48BB"/>
    <w:rsid w:val="008E4ADB"/>
    <w:rsid w:val="008E4B95"/>
    <w:rsid w:val="008E58F6"/>
    <w:rsid w:val="008E5BFC"/>
    <w:rsid w:val="008E5C6E"/>
    <w:rsid w:val="008E5F69"/>
    <w:rsid w:val="008E610B"/>
    <w:rsid w:val="008E6552"/>
    <w:rsid w:val="008E6BFE"/>
    <w:rsid w:val="008E70B4"/>
    <w:rsid w:val="008E73F7"/>
    <w:rsid w:val="008F1598"/>
    <w:rsid w:val="008F15B6"/>
    <w:rsid w:val="008F1738"/>
    <w:rsid w:val="008F2419"/>
    <w:rsid w:val="008F3DA3"/>
    <w:rsid w:val="008F4F09"/>
    <w:rsid w:val="008F5152"/>
    <w:rsid w:val="008F5CCC"/>
    <w:rsid w:val="008F6785"/>
    <w:rsid w:val="008F716F"/>
    <w:rsid w:val="008F71A9"/>
    <w:rsid w:val="008F7C39"/>
    <w:rsid w:val="008F7DB2"/>
    <w:rsid w:val="008F7FA6"/>
    <w:rsid w:val="009017B0"/>
    <w:rsid w:val="00901D45"/>
    <w:rsid w:val="0090239A"/>
    <w:rsid w:val="009024E9"/>
    <w:rsid w:val="00902A05"/>
    <w:rsid w:val="00903153"/>
    <w:rsid w:val="00904623"/>
    <w:rsid w:val="009049F8"/>
    <w:rsid w:val="0090543D"/>
    <w:rsid w:val="00905859"/>
    <w:rsid w:val="00905F97"/>
    <w:rsid w:val="0090621D"/>
    <w:rsid w:val="009063F2"/>
    <w:rsid w:val="0090696D"/>
    <w:rsid w:val="00906BC2"/>
    <w:rsid w:val="00907441"/>
    <w:rsid w:val="009076EB"/>
    <w:rsid w:val="00910206"/>
    <w:rsid w:val="00912DC9"/>
    <w:rsid w:val="0091403A"/>
    <w:rsid w:val="00914388"/>
    <w:rsid w:val="00914509"/>
    <w:rsid w:val="00914885"/>
    <w:rsid w:val="00914A8B"/>
    <w:rsid w:val="00914B28"/>
    <w:rsid w:val="00914F06"/>
    <w:rsid w:val="00915992"/>
    <w:rsid w:val="00915B7E"/>
    <w:rsid w:val="0091705C"/>
    <w:rsid w:val="00920520"/>
    <w:rsid w:val="00921132"/>
    <w:rsid w:val="0092167F"/>
    <w:rsid w:val="00921C92"/>
    <w:rsid w:val="00921FCC"/>
    <w:rsid w:val="0092206D"/>
    <w:rsid w:val="00922D6E"/>
    <w:rsid w:val="00924BE1"/>
    <w:rsid w:val="009250E7"/>
    <w:rsid w:val="0092704E"/>
    <w:rsid w:val="0092725C"/>
    <w:rsid w:val="00927708"/>
    <w:rsid w:val="00927BA5"/>
    <w:rsid w:val="00930750"/>
    <w:rsid w:val="00933E25"/>
    <w:rsid w:val="00934B2B"/>
    <w:rsid w:val="00935380"/>
    <w:rsid w:val="0093543B"/>
    <w:rsid w:val="00935650"/>
    <w:rsid w:val="009357AA"/>
    <w:rsid w:val="00935872"/>
    <w:rsid w:val="0093641C"/>
    <w:rsid w:val="00936B41"/>
    <w:rsid w:val="00941B2A"/>
    <w:rsid w:val="00941B65"/>
    <w:rsid w:val="00941F40"/>
    <w:rsid w:val="00942200"/>
    <w:rsid w:val="009432B3"/>
    <w:rsid w:val="0094369B"/>
    <w:rsid w:val="009437B3"/>
    <w:rsid w:val="0094386A"/>
    <w:rsid w:val="00943B9F"/>
    <w:rsid w:val="00943DC6"/>
    <w:rsid w:val="0094492D"/>
    <w:rsid w:val="009450CA"/>
    <w:rsid w:val="00945652"/>
    <w:rsid w:val="00945905"/>
    <w:rsid w:val="00945B3B"/>
    <w:rsid w:val="00946899"/>
    <w:rsid w:val="009468B9"/>
    <w:rsid w:val="009469FC"/>
    <w:rsid w:val="009474BD"/>
    <w:rsid w:val="009475F0"/>
    <w:rsid w:val="0094787F"/>
    <w:rsid w:val="00947BC6"/>
    <w:rsid w:val="00947EEA"/>
    <w:rsid w:val="00951920"/>
    <w:rsid w:val="00953220"/>
    <w:rsid w:val="00953DEB"/>
    <w:rsid w:val="009558AC"/>
    <w:rsid w:val="00955F3B"/>
    <w:rsid w:val="009562D9"/>
    <w:rsid w:val="009566BF"/>
    <w:rsid w:val="00957FFC"/>
    <w:rsid w:val="0096023F"/>
    <w:rsid w:val="00960DF8"/>
    <w:rsid w:val="009611B6"/>
    <w:rsid w:val="00961489"/>
    <w:rsid w:val="00961DE0"/>
    <w:rsid w:val="00962E9E"/>
    <w:rsid w:val="009630A7"/>
    <w:rsid w:val="00964156"/>
    <w:rsid w:val="009647CD"/>
    <w:rsid w:val="00965069"/>
    <w:rsid w:val="00965772"/>
    <w:rsid w:val="00965962"/>
    <w:rsid w:val="00965EB0"/>
    <w:rsid w:val="00966687"/>
    <w:rsid w:val="009669E6"/>
    <w:rsid w:val="0096762F"/>
    <w:rsid w:val="009679E5"/>
    <w:rsid w:val="009704C0"/>
    <w:rsid w:val="009704F8"/>
    <w:rsid w:val="00971EC8"/>
    <w:rsid w:val="00971F60"/>
    <w:rsid w:val="00972200"/>
    <w:rsid w:val="00972743"/>
    <w:rsid w:val="00972912"/>
    <w:rsid w:val="00972EBB"/>
    <w:rsid w:val="00973676"/>
    <w:rsid w:val="0097402C"/>
    <w:rsid w:val="00974F65"/>
    <w:rsid w:val="00975339"/>
    <w:rsid w:val="00975732"/>
    <w:rsid w:val="00977267"/>
    <w:rsid w:val="00980675"/>
    <w:rsid w:val="00981829"/>
    <w:rsid w:val="009819CD"/>
    <w:rsid w:val="00982A14"/>
    <w:rsid w:val="00983AA1"/>
    <w:rsid w:val="00983F18"/>
    <w:rsid w:val="00984142"/>
    <w:rsid w:val="0098546C"/>
    <w:rsid w:val="00985C59"/>
    <w:rsid w:val="00985C70"/>
    <w:rsid w:val="00985F77"/>
    <w:rsid w:val="00986A27"/>
    <w:rsid w:val="009870E7"/>
    <w:rsid w:val="00987197"/>
    <w:rsid w:val="00987458"/>
    <w:rsid w:val="00987BF1"/>
    <w:rsid w:val="00990788"/>
    <w:rsid w:val="00991373"/>
    <w:rsid w:val="00991A26"/>
    <w:rsid w:val="00991D34"/>
    <w:rsid w:val="0099283C"/>
    <w:rsid w:val="009930F2"/>
    <w:rsid w:val="009940AF"/>
    <w:rsid w:val="0099438A"/>
    <w:rsid w:val="00994A45"/>
    <w:rsid w:val="00994A56"/>
    <w:rsid w:val="0099510A"/>
    <w:rsid w:val="00995323"/>
    <w:rsid w:val="00996F4A"/>
    <w:rsid w:val="009A0878"/>
    <w:rsid w:val="009A0ADA"/>
    <w:rsid w:val="009A14C2"/>
    <w:rsid w:val="009A21BC"/>
    <w:rsid w:val="009A40AE"/>
    <w:rsid w:val="009A53B7"/>
    <w:rsid w:val="009A5638"/>
    <w:rsid w:val="009A5CA0"/>
    <w:rsid w:val="009A6A21"/>
    <w:rsid w:val="009A77D1"/>
    <w:rsid w:val="009A7867"/>
    <w:rsid w:val="009B01BB"/>
    <w:rsid w:val="009B0374"/>
    <w:rsid w:val="009B067B"/>
    <w:rsid w:val="009B1155"/>
    <w:rsid w:val="009B1A6E"/>
    <w:rsid w:val="009B20A5"/>
    <w:rsid w:val="009B2849"/>
    <w:rsid w:val="009B2EB8"/>
    <w:rsid w:val="009B3485"/>
    <w:rsid w:val="009B3E1F"/>
    <w:rsid w:val="009B4BB0"/>
    <w:rsid w:val="009B5598"/>
    <w:rsid w:val="009B618F"/>
    <w:rsid w:val="009B64F2"/>
    <w:rsid w:val="009B66C5"/>
    <w:rsid w:val="009B688F"/>
    <w:rsid w:val="009B692D"/>
    <w:rsid w:val="009B6C2A"/>
    <w:rsid w:val="009B773B"/>
    <w:rsid w:val="009B7B55"/>
    <w:rsid w:val="009B7E24"/>
    <w:rsid w:val="009B7E83"/>
    <w:rsid w:val="009C010F"/>
    <w:rsid w:val="009C014A"/>
    <w:rsid w:val="009C0948"/>
    <w:rsid w:val="009C18DB"/>
    <w:rsid w:val="009C1CE5"/>
    <w:rsid w:val="009C24CF"/>
    <w:rsid w:val="009C2E5D"/>
    <w:rsid w:val="009C3442"/>
    <w:rsid w:val="009C4722"/>
    <w:rsid w:val="009C5C98"/>
    <w:rsid w:val="009C670B"/>
    <w:rsid w:val="009C6CE1"/>
    <w:rsid w:val="009C778F"/>
    <w:rsid w:val="009C7E90"/>
    <w:rsid w:val="009D0967"/>
    <w:rsid w:val="009D20E3"/>
    <w:rsid w:val="009D25D7"/>
    <w:rsid w:val="009D2B22"/>
    <w:rsid w:val="009D2F02"/>
    <w:rsid w:val="009D3750"/>
    <w:rsid w:val="009D387F"/>
    <w:rsid w:val="009D3913"/>
    <w:rsid w:val="009D39F7"/>
    <w:rsid w:val="009D3E36"/>
    <w:rsid w:val="009D413B"/>
    <w:rsid w:val="009D41FF"/>
    <w:rsid w:val="009D42EC"/>
    <w:rsid w:val="009D4742"/>
    <w:rsid w:val="009D6726"/>
    <w:rsid w:val="009D69B0"/>
    <w:rsid w:val="009D6AC1"/>
    <w:rsid w:val="009D7071"/>
    <w:rsid w:val="009D7582"/>
    <w:rsid w:val="009D7846"/>
    <w:rsid w:val="009E0426"/>
    <w:rsid w:val="009E0A87"/>
    <w:rsid w:val="009E0C7C"/>
    <w:rsid w:val="009E1973"/>
    <w:rsid w:val="009E2964"/>
    <w:rsid w:val="009E303C"/>
    <w:rsid w:val="009E3367"/>
    <w:rsid w:val="009E3378"/>
    <w:rsid w:val="009E33BD"/>
    <w:rsid w:val="009E37AE"/>
    <w:rsid w:val="009E3826"/>
    <w:rsid w:val="009E3D97"/>
    <w:rsid w:val="009E43EB"/>
    <w:rsid w:val="009E4EB8"/>
    <w:rsid w:val="009E5003"/>
    <w:rsid w:val="009E5214"/>
    <w:rsid w:val="009E551A"/>
    <w:rsid w:val="009E5C93"/>
    <w:rsid w:val="009E5D01"/>
    <w:rsid w:val="009E6545"/>
    <w:rsid w:val="009F0E95"/>
    <w:rsid w:val="009F12B7"/>
    <w:rsid w:val="009F1621"/>
    <w:rsid w:val="009F17CC"/>
    <w:rsid w:val="009F1CFD"/>
    <w:rsid w:val="009F2454"/>
    <w:rsid w:val="009F27A4"/>
    <w:rsid w:val="009F2946"/>
    <w:rsid w:val="009F29BD"/>
    <w:rsid w:val="009F426C"/>
    <w:rsid w:val="009F4788"/>
    <w:rsid w:val="009F484A"/>
    <w:rsid w:val="009F4898"/>
    <w:rsid w:val="009F4A5D"/>
    <w:rsid w:val="009F52F9"/>
    <w:rsid w:val="009F639C"/>
    <w:rsid w:val="009F6AB4"/>
    <w:rsid w:val="009F74E3"/>
    <w:rsid w:val="009F794F"/>
    <w:rsid w:val="009F7965"/>
    <w:rsid w:val="00A00D14"/>
    <w:rsid w:val="00A0174B"/>
    <w:rsid w:val="00A01B47"/>
    <w:rsid w:val="00A01D75"/>
    <w:rsid w:val="00A02831"/>
    <w:rsid w:val="00A02B24"/>
    <w:rsid w:val="00A02BB3"/>
    <w:rsid w:val="00A03608"/>
    <w:rsid w:val="00A03917"/>
    <w:rsid w:val="00A03E72"/>
    <w:rsid w:val="00A0419E"/>
    <w:rsid w:val="00A04908"/>
    <w:rsid w:val="00A04C03"/>
    <w:rsid w:val="00A0526C"/>
    <w:rsid w:val="00A06000"/>
    <w:rsid w:val="00A0772D"/>
    <w:rsid w:val="00A10B13"/>
    <w:rsid w:val="00A10C0C"/>
    <w:rsid w:val="00A10F68"/>
    <w:rsid w:val="00A111C2"/>
    <w:rsid w:val="00A114B5"/>
    <w:rsid w:val="00A119B3"/>
    <w:rsid w:val="00A11FB4"/>
    <w:rsid w:val="00A11FD7"/>
    <w:rsid w:val="00A1229D"/>
    <w:rsid w:val="00A13088"/>
    <w:rsid w:val="00A142C3"/>
    <w:rsid w:val="00A146F5"/>
    <w:rsid w:val="00A14DD1"/>
    <w:rsid w:val="00A14E6F"/>
    <w:rsid w:val="00A150FF"/>
    <w:rsid w:val="00A15985"/>
    <w:rsid w:val="00A15EE2"/>
    <w:rsid w:val="00A163C3"/>
    <w:rsid w:val="00A16624"/>
    <w:rsid w:val="00A175D5"/>
    <w:rsid w:val="00A1781F"/>
    <w:rsid w:val="00A17E27"/>
    <w:rsid w:val="00A2009D"/>
    <w:rsid w:val="00A20723"/>
    <w:rsid w:val="00A208D7"/>
    <w:rsid w:val="00A20992"/>
    <w:rsid w:val="00A212B4"/>
    <w:rsid w:val="00A216A1"/>
    <w:rsid w:val="00A21702"/>
    <w:rsid w:val="00A218D8"/>
    <w:rsid w:val="00A2203C"/>
    <w:rsid w:val="00A2205B"/>
    <w:rsid w:val="00A231DD"/>
    <w:rsid w:val="00A2334C"/>
    <w:rsid w:val="00A2348B"/>
    <w:rsid w:val="00A238C5"/>
    <w:rsid w:val="00A23A0A"/>
    <w:rsid w:val="00A24E24"/>
    <w:rsid w:val="00A25079"/>
    <w:rsid w:val="00A2655F"/>
    <w:rsid w:val="00A26659"/>
    <w:rsid w:val="00A268BB"/>
    <w:rsid w:val="00A26BCA"/>
    <w:rsid w:val="00A26E42"/>
    <w:rsid w:val="00A27C66"/>
    <w:rsid w:val="00A3008B"/>
    <w:rsid w:val="00A30626"/>
    <w:rsid w:val="00A30758"/>
    <w:rsid w:val="00A30D57"/>
    <w:rsid w:val="00A30E55"/>
    <w:rsid w:val="00A317B5"/>
    <w:rsid w:val="00A31A0D"/>
    <w:rsid w:val="00A31AA2"/>
    <w:rsid w:val="00A329FE"/>
    <w:rsid w:val="00A334A2"/>
    <w:rsid w:val="00A338D0"/>
    <w:rsid w:val="00A33F04"/>
    <w:rsid w:val="00A34E59"/>
    <w:rsid w:val="00A357D1"/>
    <w:rsid w:val="00A35F50"/>
    <w:rsid w:val="00A37119"/>
    <w:rsid w:val="00A37158"/>
    <w:rsid w:val="00A3788C"/>
    <w:rsid w:val="00A37906"/>
    <w:rsid w:val="00A37A68"/>
    <w:rsid w:val="00A402A7"/>
    <w:rsid w:val="00A40462"/>
    <w:rsid w:val="00A407F6"/>
    <w:rsid w:val="00A41D51"/>
    <w:rsid w:val="00A420DC"/>
    <w:rsid w:val="00A4262E"/>
    <w:rsid w:val="00A42AA8"/>
    <w:rsid w:val="00A42F0F"/>
    <w:rsid w:val="00A4377E"/>
    <w:rsid w:val="00A43D79"/>
    <w:rsid w:val="00A44223"/>
    <w:rsid w:val="00A44BAC"/>
    <w:rsid w:val="00A44BDD"/>
    <w:rsid w:val="00A46EF1"/>
    <w:rsid w:val="00A4796E"/>
    <w:rsid w:val="00A506DC"/>
    <w:rsid w:val="00A50701"/>
    <w:rsid w:val="00A50D95"/>
    <w:rsid w:val="00A513FE"/>
    <w:rsid w:val="00A51BAF"/>
    <w:rsid w:val="00A53105"/>
    <w:rsid w:val="00A53739"/>
    <w:rsid w:val="00A53B77"/>
    <w:rsid w:val="00A54B9F"/>
    <w:rsid w:val="00A5583E"/>
    <w:rsid w:val="00A55B22"/>
    <w:rsid w:val="00A55DA6"/>
    <w:rsid w:val="00A56E90"/>
    <w:rsid w:val="00A57EB5"/>
    <w:rsid w:val="00A6008F"/>
    <w:rsid w:val="00A60843"/>
    <w:rsid w:val="00A60B98"/>
    <w:rsid w:val="00A61B36"/>
    <w:rsid w:val="00A6207F"/>
    <w:rsid w:val="00A6255D"/>
    <w:rsid w:val="00A63063"/>
    <w:rsid w:val="00A63A72"/>
    <w:rsid w:val="00A63C57"/>
    <w:rsid w:val="00A646EA"/>
    <w:rsid w:val="00A6642D"/>
    <w:rsid w:val="00A671D9"/>
    <w:rsid w:val="00A67867"/>
    <w:rsid w:val="00A712BE"/>
    <w:rsid w:val="00A715D9"/>
    <w:rsid w:val="00A71618"/>
    <w:rsid w:val="00A71C5A"/>
    <w:rsid w:val="00A72B23"/>
    <w:rsid w:val="00A72F8B"/>
    <w:rsid w:val="00A73202"/>
    <w:rsid w:val="00A73227"/>
    <w:rsid w:val="00A734E4"/>
    <w:rsid w:val="00A73515"/>
    <w:rsid w:val="00A73E75"/>
    <w:rsid w:val="00A74E1A"/>
    <w:rsid w:val="00A76761"/>
    <w:rsid w:val="00A769AD"/>
    <w:rsid w:val="00A76AA4"/>
    <w:rsid w:val="00A770F3"/>
    <w:rsid w:val="00A7777B"/>
    <w:rsid w:val="00A77CB4"/>
    <w:rsid w:val="00A81900"/>
    <w:rsid w:val="00A819B5"/>
    <w:rsid w:val="00A81C14"/>
    <w:rsid w:val="00A82C84"/>
    <w:rsid w:val="00A82E03"/>
    <w:rsid w:val="00A82EE7"/>
    <w:rsid w:val="00A832EC"/>
    <w:rsid w:val="00A83C33"/>
    <w:rsid w:val="00A83E0A"/>
    <w:rsid w:val="00A846FE"/>
    <w:rsid w:val="00A84B86"/>
    <w:rsid w:val="00A85914"/>
    <w:rsid w:val="00A863CC"/>
    <w:rsid w:val="00A87BFB"/>
    <w:rsid w:val="00A90A9D"/>
    <w:rsid w:val="00A91CD5"/>
    <w:rsid w:val="00A924B1"/>
    <w:rsid w:val="00A925BE"/>
    <w:rsid w:val="00A92ACD"/>
    <w:rsid w:val="00A937CE"/>
    <w:rsid w:val="00A938FD"/>
    <w:rsid w:val="00A93927"/>
    <w:rsid w:val="00A93A50"/>
    <w:rsid w:val="00A93EEC"/>
    <w:rsid w:val="00A94576"/>
    <w:rsid w:val="00A94C59"/>
    <w:rsid w:val="00A95983"/>
    <w:rsid w:val="00A95DED"/>
    <w:rsid w:val="00A9609B"/>
    <w:rsid w:val="00A9629D"/>
    <w:rsid w:val="00A969A7"/>
    <w:rsid w:val="00A97CC2"/>
    <w:rsid w:val="00AA0092"/>
    <w:rsid w:val="00AA0918"/>
    <w:rsid w:val="00AA0ACB"/>
    <w:rsid w:val="00AA0BD2"/>
    <w:rsid w:val="00AA1393"/>
    <w:rsid w:val="00AA1B20"/>
    <w:rsid w:val="00AA33E5"/>
    <w:rsid w:val="00AA35B9"/>
    <w:rsid w:val="00AA4472"/>
    <w:rsid w:val="00AA5AD8"/>
    <w:rsid w:val="00AA5CC0"/>
    <w:rsid w:val="00AA66B8"/>
    <w:rsid w:val="00AB0B48"/>
    <w:rsid w:val="00AB118C"/>
    <w:rsid w:val="00AB1387"/>
    <w:rsid w:val="00AB16E6"/>
    <w:rsid w:val="00AB2825"/>
    <w:rsid w:val="00AB3483"/>
    <w:rsid w:val="00AB4BD9"/>
    <w:rsid w:val="00AB4C83"/>
    <w:rsid w:val="00AB562F"/>
    <w:rsid w:val="00AB6A4C"/>
    <w:rsid w:val="00AB6C6A"/>
    <w:rsid w:val="00AC0936"/>
    <w:rsid w:val="00AC0CA9"/>
    <w:rsid w:val="00AC14EE"/>
    <w:rsid w:val="00AC1960"/>
    <w:rsid w:val="00AC2557"/>
    <w:rsid w:val="00AC29CD"/>
    <w:rsid w:val="00AC2DFD"/>
    <w:rsid w:val="00AC309A"/>
    <w:rsid w:val="00AC36F4"/>
    <w:rsid w:val="00AC3CBF"/>
    <w:rsid w:val="00AC4A0E"/>
    <w:rsid w:val="00AC4FF5"/>
    <w:rsid w:val="00AC54B0"/>
    <w:rsid w:val="00AC5B36"/>
    <w:rsid w:val="00AC5EB9"/>
    <w:rsid w:val="00AC62A5"/>
    <w:rsid w:val="00AC6590"/>
    <w:rsid w:val="00AC6867"/>
    <w:rsid w:val="00AC687E"/>
    <w:rsid w:val="00AC6FCB"/>
    <w:rsid w:val="00AC708C"/>
    <w:rsid w:val="00AC7B98"/>
    <w:rsid w:val="00AC7BFF"/>
    <w:rsid w:val="00AC7FE0"/>
    <w:rsid w:val="00AD0113"/>
    <w:rsid w:val="00AD0672"/>
    <w:rsid w:val="00AD0F6E"/>
    <w:rsid w:val="00AD1595"/>
    <w:rsid w:val="00AD2962"/>
    <w:rsid w:val="00AD2EBF"/>
    <w:rsid w:val="00AD3109"/>
    <w:rsid w:val="00AD34D0"/>
    <w:rsid w:val="00AD3606"/>
    <w:rsid w:val="00AD3A9D"/>
    <w:rsid w:val="00AD55CF"/>
    <w:rsid w:val="00AD5BB3"/>
    <w:rsid w:val="00AD67A9"/>
    <w:rsid w:val="00AD6C37"/>
    <w:rsid w:val="00AE0281"/>
    <w:rsid w:val="00AE02A0"/>
    <w:rsid w:val="00AE0AD8"/>
    <w:rsid w:val="00AE0CAE"/>
    <w:rsid w:val="00AE186C"/>
    <w:rsid w:val="00AE189E"/>
    <w:rsid w:val="00AE19F6"/>
    <w:rsid w:val="00AE1A7A"/>
    <w:rsid w:val="00AE1BB8"/>
    <w:rsid w:val="00AE1C25"/>
    <w:rsid w:val="00AE3D8D"/>
    <w:rsid w:val="00AE4361"/>
    <w:rsid w:val="00AE5279"/>
    <w:rsid w:val="00AE63C6"/>
    <w:rsid w:val="00AE65F2"/>
    <w:rsid w:val="00AE683C"/>
    <w:rsid w:val="00AF06C1"/>
    <w:rsid w:val="00AF0E8A"/>
    <w:rsid w:val="00AF1928"/>
    <w:rsid w:val="00AF21A1"/>
    <w:rsid w:val="00AF2437"/>
    <w:rsid w:val="00AF24C7"/>
    <w:rsid w:val="00AF2772"/>
    <w:rsid w:val="00AF2837"/>
    <w:rsid w:val="00AF30BD"/>
    <w:rsid w:val="00AF31C8"/>
    <w:rsid w:val="00AF3AE9"/>
    <w:rsid w:val="00AF3B2A"/>
    <w:rsid w:val="00AF3D8C"/>
    <w:rsid w:val="00AF3F16"/>
    <w:rsid w:val="00AF4000"/>
    <w:rsid w:val="00AF400D"/>
    <w:rsid w:val="00AF47FF"/>
    <w:rsid w:val="00AF515D"/>
    <w:rsid w:val="00AF56E7"/>
    <w:rsid w:val="00AF5CDB"/>
    <w:rsid w:val="00AF6165"/>
    <w:rsid w:val="00AF70FE"/>
    <w:rsid w:val="00AF76A8"/>
    <w:rsid w:val="00AF7A5A"/>
    <w:rsid w:val="00AF7AF6"/>
    <w:rsid w:val="00B00564"/>
    <w:rsid w:val="00B00C00"/>
    <w:rsid w:val="00B00F05"/>
    <w:rsid w:val="00B00F0C"/>
    <w:rsid w:val="00B010EF"/>
    <w:rsid w:val="00B0199F"/>
    <w:rsid w:val="00B028C1"/>
    <w:rsid w:val="00B02E18"/>
    <w:rsid w:val="00B03350"/>
    <w:rsid w:val="00B03459"/>
    <w:rsid w:val="00B04074"/>
    <w:rsid w:val="00B04381"/>
    <w:rsid w:val="00B04F71"/>
    <w:rsid w:val="00B05B35"/>
    <w:rsid w:val="00B05B62"/>
    <w:rsid w:val="00B06206"/>
    <w:rsid w:val="00B06880"/>
    <w:rsid w:val="00B069EA"/>
    <w:rsid w:val="00B072EE"/>
    <w:rsid w:val="00B102B9"/>
    <w:rsid w:val="00B10719"/>
    <w:rsid w:val="00B11259"/>
    <w:rsid w:val="00B11A5E"/>
    <w:rsid w:val="00B12EBF"/>
    <w:rsid w:val="00B13D9B"/>
    <w:rsid w:val="00B14F0E"/>
    <w:rsid w:val="00B16BDF"/>
    <w:rsid w:val="00B1722F"/>
    <w:rsid w:val="00B17903"/>
    <w:rsid w:val="00B17B13"/>
    <w:rsid w:val="00B17B84"/>
    <w:rsid w:val="00B203C9"/>
    <w:rsid w:val="00B209E0"/>
    <w:rsid w:val="00B2107C"/>
    <w:rsid w:val="00B23399"/>
    <w:rsid w:val="00B23B69"/>
    <w:rsid w:val="00B244FF"/>
    <w:rsid w:val="00B257E9"/>
    <w:rsid w:val="00B25A90"/>
    <w:rsid w:val="00B25D66"/>
    <w:rsid w:val="00B25D6A"/>
    <w:rsid w:val="00B25EDC"/>
    <w:rsid w:val="00B2606E"/>
    <w:rsid w:val="00B27288"/>
    <w:rsid w:val="00B27759"/>
    <w:rsid w:val="00B2782F"/>
    <w:rsid w:val="00B30C71"/>
    <w:rsid w:val="00B30E92"/>
    <w:rsid w:val="00B31B84"/>
    <w:rsid w:val="00B31EBE"/>
    <w:rsid w:val="00B35FF1"/>
    <w:rsid w:val="00B3611B"/>
    <w:rsid w:val="00B36264"/>
    <w:rsid w:val="00B36284"/>
    <w:rsid w:val="00B362BD"/>
    <w:rsid w:val="00B365B8"/>
    <w:rsid w:val="00B368DC"/>
    <w:rsid w:val="00B36DA2"/>
    <w:rsid w:val="00B36EDB"/>
    <w:rsid w:val="00B36F82"/>
    <w:rsid w:val="00B36FA5"/>
    <w:rsid w:val="00B374BE"/>
    <w:rsid w:val="00B37AF6"/>
    <w:rsid w:val="00B40131"/>
    <w:rsid w:val="00B40463"/>
    <w:rsid w:val="00B40608"/>
    <w:rsid w:val="00B436DB"/>
    <w:rsid w:val="00B43C7B"/>
    <w:rsid w:val="00B44CD2"/>
    <w:rsid w:val="00B46149"/>
    <w:rsid w:val="00B46B68"/>
    <w:rsid w:val="00B4716A"/>
    <w:rsid w:val="00B476A9"/>
    <w:rsid w:val="00B47922"/>
    <w:rsid w:val="00B47AB0"/>
    <w:rsid w:val="00B504FD"/>
    <w:rsid w:val="00B509BD"/>
    <w:rsid w:val="00B50B1E"/>
    <w:rsid w:val="00B512D8"/>
    <w:rsid w:val="00B519EE"/>
    <w:rsid w:val="00B52896"/>
    <w:rsid w:val="00B52D37"/>
    <w:rsid w:val="00B53FC0"/>
    <w:rsid w:val="00B549F9"/>
    <w:rsid w:val="00B54A10"/>
    <w:rsid w:val="00B5509F"/>
    <w:rsid w:val="00B5558E"/>
    <w:rsid w:val="00B558DF"/>
    <w:rsid w:val="00B56975"/>
    <w:rsid w:val="00B571B2"/>
    <w:rsid w:val="00B60AAD"/>
    <w:rsid w:val="00B60D55"/>
    <w:rsid w:val="00B61ADB"/>
    <w:rsid w:val="00B62071"/>
    <w:rsid w:val="00B6304B"/>
    <w:rsid w:val="00B63A36"/>
    <w:rsid w:val="00B63F96"/>
    <w:rsid w:val="00B64299"/>
    <w:rsid w:val="00B6479C"/>
    <w:rsid w:val="00B64B08"/>
    <w:rsid w:val="00B64E97"/>
    <w:rsid w:val="00B65299"/>
    <w:rsid w:val="00B65390"/>
    <w:rsid w:val="00B65513"/>
    <w:rsid w:val="00B65E29"/>
    <w:rsid w:val="00B65FAC"/>
    <w:rsid w:val="00B6685F"/>
    <w:rsid w:val="00B6698F"/>
    <w:rsid w:val="00B670DE"/>
    <w:rsid w:val="00B6740B"/>
    <w:rsid w:val="00B67412"/>
    <w:rsid w:val="00B67EBF"/>
    <w:rsid w:val="00B67EE8"/>
    <w:rsid w:val="00B7022C"/>
    <w:rsid w:val="00B7052E"/>
    <w:rsid w:val="00B72587"/>
    <w:rsid w:val="00B72878"/>
    <w:rsid w:val="00B72BFA"/>
    <w:rsid w:val="00B73A91"/>
    <w:rsid w:val="00B73F3A"/>
    <w:rsid w:val="00B7406B"/>
    <w:rsid w:val="00B741F7"/>
    <w:rsid w:val="00B75CB2"/>
    <w:rsid w:val="00B76C90"/>
    <w:rsid w:val="00B76EA3"/>
    <w:rsid w:val="00B774F8"/>
    <w:rsid w:val="00B77E40"/>
    <w:rsid w:val="00B8031A"/>
    <w:rsid w:val="00B808EF"/>
    <w:rsid w:val="00B82920"/>
    <w:rsid w:val="00B83153"/>
    <w:rsid w:val="00B83DBC"/>
    <w:rsid w:val="00B84640"/>
    <w:rsid w:val="00B84704"/>
    <w:rsid w:val="00B84768"/>
    <w:rsid w:val="00B84B36"/>
    <w:rsid w:val="00B86727"/>
    <w:rsid w:val="00B86882"/>
    <w:rsid w:val="00B86D83"/>
    <w:rsid w:val="00B873F9"/>
    <w:rsid w:val="00B87B67"/>
    <w:rsid w:val="00B87F51"/>
    <w:rsid w:val="00B91431"/>
    <w:rsid w:val="00B915CF"/>
    <w:rsid w:val="00B92495"/>
    <w:rsid w:val="00B9281C"/>
    <w:rsid w:val="00B93C44"/>
    <w:rsid w:val="00B93CC5"/>
    <w:rsid w:val="00B93F19"/>
    <w:rsid w:val="00B94394"/>
    <w:rsid w:val="00B96047"/>
    <w:rsid w:val="00B96E28"/>
    <w:rsid w:val="00B97871"/>
    <w:rsid w:val="00B97E4D"/>
    <w:rsid w:val="00BA006F"/>
    <w:rsid w:val="00BA0731"/>
    <w:rsid w:val="00BA0BC6"/>
    <w:rsid w:val="00BA1A84"/>
    <w:rsid w:val="00BA32A0"/>
    <w:rsid w:val="00BA3B50"/>
    <w:rsid w:val="00BA3D32"/>
    <w:rsid w:val="00BA45CF"/>
    <w:rsid w:val="00BA473B"/>
    <w:rsid w:val="00BA4812"/>
    <w:rsid w:val="00BA5549"/>
    <w:rsid w:val="00BA5D69"/>
    <w:rsid w:val="00BA6AD6"/>
    <w:rsid w:val="00BA6E9B"/>
    <w:rsid w:val="00BB0527"/>
    <w:rsid w:val="00BB0A52"/>
    <w:rsid w:val="00BB0AC9"/>
    <w:rsid w:val="00BB0B13"/>
    <w:rsid w:val="00BB0B8F"/>
    <w:rsid w:val="00BB0E8C"/>
    <w:rsid w:val="00BB2498"/>
    <w:rsid w:val="00BB250D"/>
    <w:rsid w:val="00BB341D"/>
    <w:rsid w:val="00BB37F8"/>
    <w:rsid w:val="00BB40A9"/>
    <w:rsid w:val="00BB60A4"/>
    <w:rsid w:val="00BB79C3"/>
    <w:rsid w:val="00BC0182"/>
    <w:rsid w:val="00BC0CD8"/>
    <w:rsid w:val="00BC1064"/>
    <w:rsid w:val="00BC1D28"/>
    <w:rsid w:val="00BC24CD"/>
    <w:rsid w:val="00BC254B"/>
    <w:rsid w:val="00BC3320"/>
    <w:rsid w:val="00BC370D"/>
    <w:rsid w:val="00BC3C72"/>
    <w:rsid w:val="00BC48F5"/>
    <w:rsid w:val="00BC4E12"/>
    <w:rsid w:val="00BC512E"/>
    <w:rsid w:val="00BC557E"/>
    <w:rsid w:val="00BC5A56"/>
    <w:rsid w:val="00BC5F12"/>
    <w:rsid w:val="00BC644A"/>
    <w:rsid w:val="00BC6CEE"/>
    <w:rsid w:val="00BC704C"/>
    <w:rsid w:val="00BC7450"/>
    <w:rsid w:val="00BC7D86"/>
    <w:rsid w:val="00BD0171"/>
    <w:rsid w:val="00BD08A9"/>
    <w:rsid w:val="00BD1013"/>
    <w:rsid w:val="00BD11CF"/>
    <w:rsid w:val="00BD1352"/>
    <w:rsid w:val="00BD36A0"/>
    <w:rsid w:val="00BD377A"/>
    <w:rsid w:val="00BD4E04"/>
    <w:rsid w:val="00BD588A"/>
    <w:rsid w:val="00BD5DCD"/>
    <w:rsid w:val="00BD76BD"/>
    <w:rsid w:val="00BD76FB"/>
    <w:rsid w:val="00BE0200"/>
    <w:rsid w:val="00BE1537"/>
    <w:rsid w:val="00BE1774"/>
    <w:rsid w:val="00BE2DE6"/>
    <w:rsid w:val="00BE2E89"/>
    <w:rsid w:val="00BE3026"/>
    <w:rsid w:val="00BE343B"/>
    <w:rsid w:val="00BE4057"/>
    <w:rsid w:val="00BE4A98"/>
    <w:rsid w:val="00BE4D4F"/>
    <w:rsid w:val="00BE4DE6"/>
    <w:rsid w:val="00BE52D9"/>
    <w:rsid w:val="00BE6E39"/>
    <w:rsid w:val="00BE6F5E"/>
    <w:rsid w:val="00BE7229"/>
    <w:rsid w:val="00BE7AF6"/>
    <w:rsid w:val="00BE7BA0"/>
    <w:rsid w:val="00BF1AC5"/>
    <w:rsid w:val="00BF2C28"/>
    <w:rsid w:val="00BF2F40"/>
    <w:rsid w:val="00BF45D8"/>
    <w:rsid w:val="00BF519D"/>
    <w:rsid w:val="00BF62EC"/>
    <w:rsid w:val="00BF64F3"/>
    <w:rsid w:val="00BF6776"/>
    <w:rsid w:val="00BF70E8"/>
    <w:rsid w:val="00C00902"/>
    <w:rsid w:val="00C00BEF"/>
    <w:rsid w:val="00C00CCD"/>
    <w:rsid w:val="00C00EED"/>
    <w:rsid w:val="00C01496"/>
    <w:rsid w:val="00C016A5"/>
    <w:rsid w:val="00C018D8"/>
    <w:rsid w:val="00C01AD1"/>
    <w:rsid w:val="00C01EC5"/>
    <w:rsid w:val="00C02744"/>
    <w:rsid w:val="00C02AF0"/>
    <w:rsid w:val="00C02D6D"/>
    <w:rsid w:val="00C03259"/>
    <w:rsid w:val="00C04452"/>
    <w:rsid w:val="00C04545"/>
    <w:rsid w:val="00C0494E"/>
    <w:rsid w:val="00C060E9"/>
    <w:rsid w:val="00C069B1"/>
    <w:rsid w:val="00C07158"/>
    <w:rsid w:val="00C07A18"/>
    <w:rsid w:val="00C07E74"/>
    <w:rsid w:val="00C10BD7"/>
    <w:rsid w:val="00C10E82"/>
    <w:rsid w:val="00C111EB"/>
    <w:rsid w:val="00C11D9C"/>
    <w:rsid w:val="00C123C7"/>
    <w:rsid w:val="00C143DC"/>
    <w:rsid w:val="00C14E86"/>
    <w:rsid w:val="00C15851"/>
    <w:rsid w:val="00C164A0"/>
    <w:rsid w:val="00C175E5"/>
    <w:rsid w:val="00C178D5"/>
    <w:rsid w:val="00C201D3"/>
    <w:rsid w:val="00C208D5"/>
    <w:rsid w:val="00C20A10"/>
    <w:rsid w:val="00C20DC9"/>
    <w:rsid w:val="00C215A6"/>
    <w:rsid w:val="00C21670"/>
    <w:rsid w:val="00C21D4C"/>
    <w:rsid w:val="00C22A3D"/>
    <w:rsid w:val="00C23045"/>
    <w:rsid w:val="00C23B91"/>
    <w:rsid w:val="00C23BFE"/>
    <w:rsid w:val="00C24591"/>
    <w:rsid w:val="00C24865"/>
    <w:rsid w:val="00C24912"/>
    <w:rsid w:val="00C257E9"/>
    <w:rsid w:val="00C25C75"/>
    <w:rsid w:val="00C25EE1"/>
    <w:rsid w:val="00C264C4"/>
    <w:rsid w:val="00C2669B"/>
    <w:rsid w:val="00C277DC"/>
    <w:rsid w:val="00C3045A"/>
    <w:rsid w:val="00C30D69"/>
    <w:rsid w:val="00C3196F"/>
    <w:rsid w:val="00C3205B"/>
    <w:rsid w:val="00C32381"/>
    <w:rsid w:val="00C3238D"/>
    <w:rsid w:val="00C32CDB"/>
    <w:rsid w:val="00C32E96"/>
    <w:rsid w:val="00C343D7"/>
    <w:rsid w:val="00C34A49"/>
    <w:rsid w:val="00C354E3"/>
    <w:rsid w:val="00C35557"/>
    <w:rsid w:val="00C35B3E"/>
    <w:rsid w:val="00C36742"/>
    <w:rsid w:val="00C36E8B"/>
    <w:rsid w:val="00C37CB0"/>
    <w:rsid w:val="00C4017C"/>
    <w:rsid w:val="00C40D8B"/>
    <w:rsid w:val="00C410E0"/>
    <w:rsid w:val="00C41AF4"/>
    <w:rsid w:val="00C41B1F"/>
    <w:rsid w:val="00C427DA"/>
    <w:rsid w:val="00C4287B"/>
    <w:rsid w:val="00C44362"/>
    <w:rsid w:val="00C44702"/>
    <w:rsid w:val="00C45703"/>
    <w:rsid w:val="00C45A9D"/>
    <w:rsid w:val="00C45B6B"/>
    <w:rsid w:val="00C461AC"/>
    <w:rsid w:val="00C461DF"/>
    <w:rsid w:val="00C46329"/>
    <w:rsid w:val="00C471AC"/>
    <w:rsid w:val="00C4749C"/>
    <w:rsid w:val="00C47888"/>
    <w:rsid w:val="00C479D5"/>
    <w:rsid w:val="00C47E49"/>
    <w:rsid w:val="00C5017F"/>
    <w:rsid w:val="00C515B1"/>
    <w:rsid w:val="00C51C0E"/>
    <w:rsid w:val="00C523C9"/>
    <w:rsid w:val="00C54300"/>
    <w:rsid w:val="00C54F7E"/>
    <w:rsid w:val="00C5581C"/>
    <w:rsid w:val="00C5642D"/>
    <w:rsid w:val="00C56932"/>
    <w:rsid w:val="00C5702A"/>
    <w:rsid w:val="00C57DAA"/>
    <w:rsid w:val="00C601F5"/>
    <w:rsid w:val="00C60E35"/>
    <w:rsid w:val="00C60FA8"/>
    <w:rsid w:val="00C61646"/>
    <w:rsid w:val="00C617CA"/>
    <w:rsid w:val="00C627EE"/>
    <w:rsid w:val="00C62A9E"/>
    <w:rsid w:val="00C63B9C"/>
    <w:rsid w:val="00C63ED5"/>
    <w:rsid w:val="00C642C6"/>
    <w:rsid w:val="00C645A5"/>
    <w:rsid w:val="00C64644"/>
    <w:rsid w:val="00C65361"/>
    <w:rsid w:val="00C6557C"/>
    <w:rsid w:val="00C6569B"/>
    <w:rsid w:val="00C66464"/>
    <w:rsid w:val="00C6653E"/>
    <w:rsid w:val="00C6657A"/>
    <w:rsid w:val="00C66788"/>
    <w:rsid w:val="00C66C7E"/>
    <w:rsid w:val="00C67DD3"/>
    <w:rsid w:val="00C705AF"/>
    <w:rsid w:val="00C7060D"/>
    <w:rsid w:val="00C707C8"/>
    <w:rsid w:val="00C70F10"/>
    <w:rsid w:val="00C7201B"/>
    <w:rsid w:val="00C7203F"/>
    <w:rsid w:val="00C72517"/>
    <w:rsid w:val="00C72B84"/>
    <w:rsid w:val="00C736A9"/>
    <w:rsid w:val="00C7433D"/>
    <w:rsid w:val="00C7508E"/>
    <w:rsid w:val="00C75273"/>
    <w:rsid w:val="00C760A7"/>
    <w:rsid w:val="00C76438"/>
    <w:rsid w:val="00C76BA0"/>
    <w:rsid w:val="00C76FEB"/>
    <w:rsid w:val="00C77125"/>
    <w:rsid w:val="00C77699"/>
    <w:rsid w:val="00C80157"/>
    <w:rsid w:val="00C805D9"/>
    <w:rsid w:val="00C809DE"/>
    <w:rsid w:val="00C80A72"/>
    <w:rsid w:val="00C80BB7"/>
    <w:rsid w:val="00C81044"/>
    <w:rsid w:val="00C814E0"/>
    <w:rsid w:val="00C8342A"/>
    <w:rsid w:val="00C83FA7"/>
    <w:rsid w:val="00C84332"/>
    <w:rsid w:val="00C847BB"/>
    <w:rsid w:val="00C84CC1"/>
    <w:rsid w:val="00C85F2F"/>
    <w:rsid w:val="00C868C5"/>
    <w:rsid w:val="00C86AA8"/>
    <w:rsid w:val="00C86BD2"/>
    <w:rsid w:val="00C8744C"/>
    <w:rsid w:val="00C87C2F"/>
    <w:rsid w:val="00C90514"/>
    <w:rsid w:val="00C90C67"/>
    <w:rsid w:val="00C90EBD"/>
    <w:rsid w:val="00C93D0E"/>
    <w:rsid w:val="00C93EB6"/>
    <w:rsid w:val="00C940D5"/>
    <w:rsid w:val="00C94254"/>
    <w:rsid w:val="00C94694"/>
    <w:rsid w:val="00C946EB"/>
    <w:rsid w:val="00C94DA2"/>
    <w:rsid w:val="00C95268"/>
    <w:rsid w:val="00C9599C"/>
    <w:rsid w:val="00C9672B"/>
    <w:rsid w:val="00C9702C"/>
    <w:rsid w:val="00C9764B"/>
    <w:rsid w:val="00C978FF"/>
    <w:rsid w:val="00CA0148"/>
    <w:rsid w:val="00CA07A7"/>
    <w:rsid w:val="00CA1BA4"/>
    <w:rsid w:val="00CA223B"/>
    <w:rsid w:val="00CA2FE0"/>
    <w:rsid w:val="00CA30F0"/>
    <w:rsid w:val="00CA359F"/>
    <w:rsid w:val="00CA42F0"/>
    <w:rsid w:val="00CA4AA1"/>
    <w:rsid w:val="00CA632E"/>
    <w:rsid w:val="00CA72DC"/>
    <w:rsid w:val="00CA753C"/>
    <w:rsid w:val="00CA7639"/>
    <w:rsid w:val="00CA7E34"/>
    <w:rsid w:val="00CB0082"/>
    <w:rsid w:val="00CB048D"/>
    <w:rsid w:val="00CB1AA4"/>
    <w:rsid w:val="00CB1CC2"/>
    <w:rsid w:val="00CB1EE6"/>
    <w:rsid w:val="00CB20FA"/>
    <w:rsid w:val="00CB440D"/>
    <w:rsid w:val="00CB54EE"/>
    <w:rsid w:val="00CB5B5F"/>
    <w:rsid w:val="00CB6034"/>
    <w:rsid w:val="00CB663A"/>
    <w:rsid w:val="00CB6A4C"/>
    <w:rsid w:val="00CB6FE8"/>
    <w:rsid w:val="00CB7345"/>
    <w:rsid w:val="00CB7F09"/>
    <w:rsid w:val="00CB7F1E"/>
    <w:rsid w:val="00CC0A23"/>
    <w:rsid w:val="00CC12E2"/>
    <w:rsid w:val="00CC2EB7"/>
    <w:rsid w:val="00CC2F19"/>
    <w:rsid w:val="00CC3D2F"/>
    <w:rsid w:val="00CC40FB"/>
    <w:rsid w:val="00CC4846"/>
    <w:rsid w:val="00CC4D8C"/>
    <w:rsid w:val="00CC50C2"/>
    <w:rsid w:val="00CC5196"/>
    <w:rsid w:val="00CC559B"/>
    <w:rsid w:val="00CC5BD9"/>
    <w:rsid w:val="00CC6999"/>
    <w:rsid w:val="00CC7164"/>
    <w:rsid w:val="00CC724C"/>
    <w:rsid w:val="00CC7657"/>
    <w:rsid w:val="00CC7879"/>
    <w:rsid w:val="00CC7C4F"/>
    <w:rsid w:val="00CD0BA6"/>
    <w:rsid w:val="00CD1675"/>
    <w:rsid w:val="00CD19DA"/>
    <w:rsid w:val="00CD19F1"/>
    <w:rsid w:val="00CD1A71"/>
    <w:rsid w:val="00CD33E3"/>
    <w:rsid w:val="00CD39BD"/>
    <w:rsid w:val="00CD3C6F"/>
    <w:rsid w:val="00CD3DFF"/>
    <w:rsid w:val="00CD46E2"/>
    <w:rsid w:val="00CD513F"/>
    <w:rsid w:val="00CD5583"/>
    <w:rsid w:val="00CD5DC9"/>
    <w:rsid w:val="00CD6FAD"/>
    <w:rsid w:val="00CD7186"/>
    <w:rsid w:val="00CD722A"/>
    <w:rsid w:val="00CD74DD"/>
    <w:rsid w:val="00CD7CDF"/>
    <w:rsid w:val="00CD7E45"/>
    <w:rsid w:val="00CE005C"/>
    <w:rsid w:val="00CE01CF"/>
    <w:rsid w:val="00CE01FA"/>
    <w:rsid w:val="00CE0AF8"/>
    <w:rsid w:val="00CE0DE5"/>
    <w:rsid w:val="00CE0FE5"/>
    <w:rsid w:val="00CE165B"/>
    <w:rsid w:val="00CE165E"/>
    <w:rsid w:val="00CE1D4C"/>
    <w:rsid w:val="00CE2363"/>
    <w:rsid w:val="00CE2C97"/>
    <w:rsid w:val="00CE30DA"/>
    <w:rsid w:val="00CE32AA"/>
    <w:rsid w:val="00CE3658"/>
    <w:rsid w:val="00CE38E9"/>
    <w:rsid w:val="00CE46AE"/>
    <w:rsid w:val="00CE4FAA"/>
    <w:rsid w:val="00CE509D"/>
    <w:rsid w:val="00CE516F"/>
    <w:rsid w:val="00CE53DA"/>
    <w:rsid w:val="00CE558B"/>
    <w:rsid w:val="00CE6A64"/>
    <w:rsid w:val="00CE6C91"/>
    <w:rsid w:val="00CE6F73"/>
    <w:rsid w:val="00CE752C"/>
    <w:rsid w:val="00CE7A2A"/>
    <w:rsid w:val="00CF00FD"/>
    <w:rsid w:val="00CF03C8"/>
    <w:rsid w:val="00CF0F7F"/>
    <w:rsid w:val="00CF2902"/>
    <w:rsid w:val="00CF294D"/>
    <w:rsid w:val="00CF2D99"/>
    <w:rsid w:val="00CF308D"/>
    <w:rsid w:val="00CF32A1"/>
    <w:rsid w:val="00CF4488"/>
    <w:rsid w:val="00CF49D7"/>
    <w:rsid w:val="00CF4A77"/>
    <w:rsid w:val="00CF4E99"/>
    <w:rsid w:val="00CF5A98"/>
    <w:rsid w:val="00CF6472"/>
    <w:rsid w:val="00CF680B"/>
    <w:rsid w:val="00CF73BF"/>
    <w:rsid w:val="00D0002F"/>
    <w:rsid w:val="00D003C5"/>
    <w:rsid w:val="00D01127"/>
    <w:rsid w:val="00D01692"/>
    <w:rsid w:val="00D01B74"/>
    <w:rsid w:val="00D026C7"/>
    <w:rsid w:val="00D02750"/>
    <w:rsid w:val="00D035BC"/>
    <w:rsid w:val="00D03D2F"/>
    <w:rsid w:val="00D03DD4"/>
    <w:rsid w:val="00D043E8"/>
    <w:rsid w:val="00D04CE7"/>
    <w:rsid w:val="00D06039"/>
    <w:rsid w:val="00D0618B"/>
    <w:rsid w:val="00D06378"/>
    <w:rsid w:val="00D06ABC"/>
    <w:rsid w:val="00D06B49"/>
    <w:rsid w:val="00D10B5B"/>
    <w:rsid w:val="00D10BD7"/>
    <w:rsid w:val="00D10FD3"/>
    <w:rsid w:val="00D1131C"/>
    <w:rsid w:val="00D12012"/>
    <w:rsid w:val="00D129E0"/>
    <w:rsid w:val="00D13D71"/>
    <w:rsid w:val="00D14A0D"/>
    <w:rsid w:val="00D1503A"/>
    <w:rsid w:val="00D15DF2"/>
    <w:rsid w:val="00D16A17"/>
    <w:rsid w:val="00D200B0"/>
    <w:rsid w:val="00D20574"/>
    <w:rsid w:val="00D2106C"/>
    <w:rsid w:val="00D21A62"/>
    <w:rsid w:val="00D21B41"/>
    <w:rsid w:val="00D2210D"/>
    <w:rsid w:val="00D223F7"/>
    <w:rsid w:val="00D230CB"/>
    <w:rsid w:val="00D24293"/>
    <w:rsid w:val="00D245EB"/>
    <w:rsid w:val="00D24CF3"/>
    <w:rsid w:val="00D25119"/>
    <w:rsid w:val="00D251E2"/>
    <w:rsid w:val="00D25343"/>
    <w:rsid w:val="00D25430"/>
    <w:rsid w:val="00D25754"/>
    <w:rsid w:val="00D268E4"/>
    <w:rsid w:val="00D26A79"/>
    <w:rsid w:val="00D26CDF"/>
    <w:rsid w:val="00D31AFE"/>
    <w:rsid w:val="00D32FA6"/>
    <w:rsid w:val="00D33A9D"/>
    <w:rsid w:val="00D345A5"/>
    <w:rsid w:val="00D34B65"/>
    <w:rsid w:val="00D359B8"/>
    <w:rsid w:val="00D36962"/>
    <w:rsid w:val="00D37067"/>
    <w:rsid w:val="00D37893"/>
    <w:rsid w:val="00D378F7"/>
    <w:rsid w:val="00D40067"/>
    <w:rsid w:val="00D4086C"/>
    <w:rsid w:val="00D4139C"/>
    <w:rsid w:val="00D41AB3"/>
    <w:rsid w:val="00D42B25"/>
    <w:rsid w:val="00D43448"/>
    <w:rsid w:val="00D449F9"/>
    <w:rsid w:val="00D44AC7"/>
    <w:rsid w:val="00D44D45"/>
    <w:rsid w:val="00D44E46"/>
    <w:rsid w:val="00D451F2"/>
    <w:rsid w:val="00D45445"/>
    <w:rsid w:val="00D45488"/>
    <w:rsid w:val="00D45B1F"/>
    <w:rsid w:val="00D45D01"/>
    <w:rsid w:val="00D46E62"/>
    <w:rsid w:val="00D47020"/>
    <w:rsid w:val="00D4769A"/>
    <w:rsid w:val="00D476DB"/>
    <w:rsid w:val="00D50D97"/>
    <w:rsid w:val="00D51097"/>
    <w:rsid w:val="00D520C7"/>
    <w:rsid w:val="00D52F39"/>
    <w:rsid w:val="00D53039"/>
    <w:rsid w:val="00D531C5"/>
    <w:rsid w:val="00D53C74"/>
    <w:rsid w:val="00D53CD9"/>
    <w:rsid w:val="00D543C5"/>
    <w:rsid w:val="00D576C4"/>
    <w:rsid w:val="00D578CC"/>
    <w:rsid w:val="00D61005"/>
    <w:rsid w:val="00D61282"/>
    <w:rsid w:val="00D61303"/>
    <w:rsid w:val="00D61471"/>
    <w:rsid w:val="00D61B37"/>
    <w:rsid w:val="00D62A03"/>
    <w:rsid w:val="00D62B62"/>
    <w:rsid w:val="00D62F74"/>
    <w:rsid w:val="00D62FB2"/>
    <w:rsid w:val="00D633CB"/>
    <w:rsid w:val="00D63938"/>
    <w:rsid w:val="00D63E33"/>
    <w:rsid w:val="00D63F43"/>
    <w:rsid w:val="00D643CD"/>
    <w:rsid w:val="00D64557"/>
    <w:rsid w:val="00D64BFD"/>
    <w:rsid w:val="00D64DD3"/>
    <w:rsid w:val="00D65632"/>
    <w:rsid w:val="00D65906"/>
    <w:rsid w:val="00D6690D"/>
    <w:rsid w:val="00D669DF"/>
    <w:rsid w:val="00D66CE1"/>
    <w:rsid w:val="00D6750E"/>
    <w:rsid w:val="00D679D9"/>
    <w:rsid w:val="00D67AF3"/>
    <w:rsid w:val="00D7021C"/>
    <w:rsid w:val="00D70900"/>
    <w:rsid w:val="00D70B0E"/>
    <w:rsid w:val="00D717F3"/>
    <w:rsid w:val="00D71BCB"/>
    <w:rsid w:val="00D727ED"/>
    <w:rsid w:val="00D72916"/>
    <w:rsid w:val="00D7367E"/>
    <w:rsid w:val="00D73730"/>
    <w:rsid w:val="00D73826"/>
    <w:rsid w:val="00D738A8"/>
    <w:rsid w:val="00D73B66"/>
    <w:rsid w:val="00D73DB8"/>
    <w:rsid w:val="00D73F0F"/>
    <w:rsid w:val="00D747B2"/>
    <w:rsid w:val="00D75CB7"/>
    <w:rsid w:val="00D768FB"/>
    <w:rsid w:val="00D77705"/>
    <w:rsid w:val="00D77F6A"/>
    <w:rsid w:val="00D801A0"/>
    <w:rsid w:val="00D803C3"/>
    <w:rsid w:val="00D80B26"/>
    <w:rsid w:val="00D80C7C"/>
    <w:rsid w:val="00D81101"/>
    <w:rsid w:val="00D81247"/>
    <w:rsid w:val="00D81599"/>
    <w:rsid w:val="00D81E5F"/>
    <w:rsid w:val="00D828F4"/>
    <w:rsid w:val="00D82BAB"/>
    <w:rsid w:val="00D833BA"/>
    <w:rsid w:val="00D83433"/>
    <w:rsid w:val="00D83DE6"/>
    <w:rsid w:val="00D83EAE"/>
    <w:rsid w:val="00D849CD"/>
    <w:rsid w:val="00D84A8A"/>
    <w:rsid w:val="00D84F4E"/>
    <w:rsid w:val="00D8510E"/>
    <w:rsid w:val="00D8545C"/>
    <w:rsid w:val="00D85A92"/>
    <w:rsid w:val="00D85D5E"/>
    <w:rsid w:val="00D8605D"/>
    <w:rsid w:val="00D8673E"/>
    <w:rsid w:val="00D86741"/>
    <w:rsid w:val="00D86982"/>
    <w:rsid w:val="00D86A17"/>
    <w:rsid w:val="00D87889"/>
    <w:rsid w:val="00D9120C"/>
    <w:rsid w:val="00D92C21"/>
    <w:rsid w:val="00D93609"/>
    <w:rsid w:val="00D94CA9"/>
    <w:rsid w:val="00D94D5D"/>
    <w:rsid w:val="00D94EC8"/>
    <w:rsid w:val="00D9510D"/>
    <w:rsid w:val="00D9595F"/>
    <w:rsid w:val="00D96053"/>
    <w:rsid w:val="00D96A83"/>
    <w:rsid w:val="00D970DB"/>
    <w:rsid w:val="00DA039C"/>
    <w:rsid w:val="00DA07C8"/>
    <w:rsid w:val="00DA097E"/>
    <w:rsid w:val="00DA157E"/>
    <w:rsid w:val="00DA1596"/>
    <w:rsid w:val="00DA1CBC"/>
    <w:rsid w:val="00DA20C1"/>
    <w:rsid w:val="00DA2784"/>
    <w:rsid w:val="00DA2F6D"/>
    <w:rsid w:val="00DA367E"/>
    <w:rsid w:val="00DA394A"/>
    <w:rsid w:val="00DA402D"/>
    <w:rsid w:val="00DA5028"/>
    <w:rsid w:val="00DA54FF"/>
    <w:rsid w:val="00DA6AF1"/>
    <w:rsid w:val="00DA6B3A"/>
    <w:rsid w:val="00DA6DDB"/>
    <w:rsid w:val="00DA70F1"/>
    <w:rsid w:val="00DA78D0"/>
    <w:rsid w:val="00DA79E5"/>
    <w:rsid w:val="00DA7CDF"/>
    <w:rsid w:val="00DA7D5E"/>
    <w:rsid w:val="00DB1241"/>
    <w:rsid w:val="00DB20A8"/>
    <w:rsid w:val="00DB2828"/>
    <w:rsid w:val="00DB2BAC"/>
    <w:rsid w:val="00DB2E45"/>
    <w:rsid w:val="00DB2E58"/>
    <w:rsid w:val="00DB31D4"/>
    <w:rsid w:val="00DB38C0"/>
    <w:rsid w:val="00DB3A5B"/>
    <w:rsid w:val="00DB3C26"/>
    <w:rsid w:val="00DB458C"/>
    <w:rsid w:val="00DB489F"/>
    <w:rsid w:val="00DB4A1A"/>
    <w:rsid w:val="00DB5189"/>
    <w:rsid w:val="00DB5286"/>
    <w:rsid w:val="00DB5853"/>
    <w:rsid w:val="00DB643D"/>
    <w:rsid w:val="00DB6752"/>
    <w:rsid w:val="00DB6F81"/>
    <w:rsid w:val="00DB6F9E"/>
    <w:rsid w:val="00DB7116"/>
    <w:rsid w:val="00DB7850"/>
    <w:rsid w:val="00DC0A45"/>
    <w:rsid w:val="00DC148B"/>
    <w:rsid w:val="00DC15E7"/>
    <w:rsid w:val="00DC1A87"/>
    <w:rsid w:val="00DC2A37"/>
    <w:rsid w:val="00DC31C1"/>
    <w:rsid w:val="00DC331E"/>
    <w:rsid w:val="00DC5AB8"/>
    <w:rsid w:val="00DC5D21"/>
    <w:rsid w:val="00DC68E3"/>
    <w:rsid w:val="00DC6D40"/>
    <w:rsid w:val="00DC74D8"/>
    <w:rsid w:val="00DC798A"/>
    <w:rsid w:val="00DC7DB6"/>
    <w:rsid w:val="00DD0417"/>
    <w:rsid w:val="00DD1225"/>
    <w:rsid w:val="00DD16A8"/>
    <w:rsid w:val="00DD16FC"/>
    <w:rsid w:val="00DD2090"/>
    <w:rsid w:val="00DD23B7"/>
    <w:rsid w:val="00DD2440"/>
    <w:rsid w:val="00DD2688"/>
    <w:rsid w:val="00DD2BF2"/>
    <w:rsid w:val="00DD300B"/>
    <w:rsid w:val="00DD31C9"/>
    <w:rsid w:val="00DD3296"/>
    <w:rsid w:val="00DD36BB"/>
    <w:rsid w:val="00DD3F12"/>
    <w:rsid w:val="00DD5F17"/>
    <w:rsid w:val="00DD615D"/>
    <w:rsid w:val="00DD65B5"/>
    <w:rsid w:val="00DD691C"/>
    <w:rsid w:val="00DD7FE7"/>
    <w:rsid w:val="00DE0F59"/>
    <w:rsid w:val="00DE15A7"/>
    <w:rsid w:val="00DE1D16"/>
    <w:rsid w:val="00DE1F34"/>
    <w:rsid w:val="00DE24AB"/>
    <w:rsid w:val="00DE3FB9"/>
    <w:rsid w:val="00DE4267"/>
    <w:rsid w:val="00DE5864"/>
    <w:rsid w:val="00DE5BC5"/>
    <w:rsid w:val="00DE6E05"/>
    <w:rsid w:val="00DE7550"/>
    <w:rsid w:val="00DE7BB8"/>
    <w:rsid w:val="00DF011C"/>
    <w:rsid w:val="00DF01FB"/>
    <w:rsid w:val="00DF2E30"/>
    <w:rsid w:val="00DF37A5"/>
    <w:rsid w:val="00DF37DC"/>
    <w:rsid w:val="00DF3E6E"/>
    <w:rsid w:val="00DF4ACB"/>
    <w:rsid w:val="00DF4CF6"/>
    <w:rsid w:val="00DF6071"/>
    <w:rsid w:val="00DF62AD"/>
    <w:rsid w:val="00DF6685"/>
    <w:rsid w:val="00DF6968"/>
    <w:rsid w:val="00DF6A50"/>
    <w:rsid w:val="00DF7D73"/>
    <w:rsid w:val="00E00161"/>
    <w:rsid w:val="00E00E3E"/>
    <w:rsid w:val="00E00F06"/>
    <w:rsid w:val="00E010A4"/>
    <w:rsid w:val="00E01E37"/>
    <w:rsid w:val="00E024DA"/>
    <w:rsid w:val="00E02C62"/>
    <w:rsid w:val="00E039C8"/>
    <w:rsid w:val="00E03BF5"/>
    <w:rsid w:val="00E03C56"/>
    <w:rsid w:val="00E0417B"/>
    <w:rsid w:val="00E04E5A"/>
    <w:rsid w:val="00E04EC1"/>
    <w:rsid w:val="00E0545D"/>
    <w:rsid w:val="00E05F20"/>
    <w:rsid w:val="00E062B9"/>
    <w:rsid w:val="00E06FE9"/>
    <w:rsid w:val="00E07027"/>
    <w:rsid w:val="00E07750"/>
    <w:rsid w:val="00E079AE"/>
    <w:rsid w:val="00E07B41"/>
    <w:rsid w:val="00E11B7D"/>
    <w:rsid w:val="00E1562C"/>
    <w:rsid w:val="00E15B60"/>
    <w:rsid w:val="00E1676F"/>
    <w:rsid w:val="00E16C80"/>
    <w:rsid w:val="00E16EC6"/>
    <w:rsid w:val="00E17E2C"/>
    <w:rsid w:val="00E201E0"/>
    <w:rsid w:val="00E21F8B"/>
    <w:rsid w:val="00E22DD7"/>
    <w:rsid w:val="00E238E4"/>
    <w:rsid w:val="00E2394C"/>
    <w:rsid w:val="00E249C5"/>
    <w:rsid w:val="00E24D02"/>
    <w:rsid w:val="00E25BF8"/>
    <w:rsid w:val="00E25D3F"/>
    <w:rsid w:val="00E264D8"/>
    <w:rsid w:val="00E266F6"/>
    <w:rsid w:val="00E274CF"/>
    <w:rsid w:val="00E27AD4"/>
    <w:rsid w:val="00E30AE4"/>
    <w:rsid w:val="00E30B59"/>
    <w:rsid w:val="00E31500"/>
    <w:rsid w:val="00E31FCA"/>
    <w:rsid w:val="00E3466A"/>
    <w:rsid w:val="00E34B38"/>
    <w:rsid w:val="00E34EFD"/>
    <w:rsid w:val="00E354A7"/>
    <w:rsid w:val="00E36457"/>
    <w:rsid w:val="00E36D8E"/>
    <w:rsid w:val="00E37976"/>
    <w:rsid w:val="00E40743"/>
    <w:rsid w:val="00E40C38"/>
    <w:rsid w:val="00E40E91"/>
    <w:rsid w:val="00E412C4"/>
    <w:rsid w:val="00E415BE"/>
    <w:rsid w:val="00E426FF"/>
    <w:rsid w:val="00E429BE"/>
    <w:rsid w:val="00E43E6B"/>
    <w:rsid w:val="00E44307"/>
    <w:rsid w:val="00E44459"/>
    <w:rsid w:val="00E4459E"/>
    <w:rsid w:val="00E44CFD"/>
    <w:rsid w:val="00E45C06"/>
    <w:rsid w:val="00E462A7"/>
    <w:rsid w:val="00E4661A"/>
    <w:rsid w:val="00E466BF"/>
    <w:rsid w:val="00E468E7"/>
    <w:rsid w:val="00E469D2"/>
    <w:rsid w:val="00E46C50"/>
    <w:rsid w:val="00E476F6"/>
    <w:rsid w:val="00E50165"/>
    <w:rsid w:val="00E5023A"/>
    <w:rsid w:val="00E50756"/>
    <w:rsid w:val="00E50D69"/>
    <w:rsid w:val="00E51720"/>
    <w:rsid w:val="00E519FB"/>
    <w:rsid w:val="00E520AD"/>
    <w:rsid w:val="00E52AE3"/>
    <w:rsid w:val="00E52C77"/>
    <w:rsid w:val="00E5334F"/>
    <w:rsid w:val="00E542BD"/>
    <w:rsid w:val="00E544FE"/>
    <w:rsid w:val="00E546A0"/>
    <w:rsid w:val="00E54CBB"/>
    <w:rsid w:val="00E56662"/>
    <w:rsid w:val="00E56670"/>
    <w:rsid w:val="00E56AF5"/>
    <w:rsid w:val="00E56D4F"/>
    <w:rsid w:val="00E57676"/>
    <w:rsid w:val="00E57A84"/>
    <w:rsid w:val="00E60349"/>
    <w:rsid w:val="00E60809"/>
    <w:rsid w:val="00E60D39"/>
    <w:rsid w:val="00E61299"/>
    <w:rsid w:val="00E61F3A"/>
    <w:rsid w:val="00E6283F"/>
    <w:rsid w:val="00E634A5"/>
    <w:rsid w:val="00E63C00"/>
    <w:rsid w:val="00E64950"/>
    <w:rsid w:val="00E649B3"/>
    <w:rsid w:val="00E65254"/>
    <w:rsid w:val="00E65A13"/>
    <w:rsid w:val="00E66077"/>
    <w:rsid w:val="00E66BA0"/>
    <w:rsid w:val="00E66F23"/>
    <w:rsid w:val="00E67740"/>
    <w:rsid w:val="00E67F1E"/>
    <w:rsid w:val="00E70396"/>
    <w:rsid w:val="00E704C5"/>
    <w:rsid w:val="00E71B33"/>
    <w:rsid w:val="00E7370D"/>
    <w:rsid w:val="00E73B6D"/>
    <w:rsid w:val="00E74A94"/>
    <w:rsid w:val="00E757BC"/>
    <w:rsid w:val="00E768DD"/>
    <w:rsid w:val="00E77799"/>
    <w:rsid w:val="00E77998"/>
    <w:rsid w:val="00E77DD5"/>
    <w:rsid w:val="00E80041"/>
    <w:rsid w:val="00E81E8A"/>
    <w:rsid w:val="00E8216E"/>
    <w:rsid w:val="00E82826"/>
    <w:rsid w:val="00E8309D"/>
    <w:rsid w:val="00E83B88"/>
    <w:rsid w:val="00E83D45"/>
    <w:rsid w:val="00E853E6"/>
    <w:rsid w:val="00E85510"/>
    <w:rsid w:val="00E85E19"/>
    <w:rsid w:val="00E8658E"/>
    <w:rsid w:val="00E8690B"/>
    <w:rsid w:val="00E8708B"/>
    <w:rsid w:val="00E8754C"/>
    <w:rsid w:val="00E90125"/>
    <w:rsid w:val="00E904B6"/>
    <w:rsid w:val="00E9135E"/>
    <w:rsid w:val="00E92498"/>
    <w:rsid w:val="00E92577"/>
    <w:rsid w:val="00E92BCE"/>
    <w:rsid w:val="00E9329E"/>
    <w:rsid w:val="00E93ACE"/>
    <w:rsid w:val="00E94026"/>
    <w:rsid w:val="00E95196"/>
    <w:rsid w:val="00E9543D"/>
    <w:rsid w:val="00E954F5"/>
    <w:rsid w:val="00E96CA3"/>
    <w:rsid w:val="00E975D5"/>
    <w:rsid w:val="00E97725"/>
    <w:rsid w:val="00E97774"/>
    <w:rsid w:val="00E97C4F"/>
    <w:rsid w:val="00EA0D24"/>
    <w:rsid w:val="00EA0F82"/>
    <w:rsid w:val="00EA10BA"/>
    <w:rsid w:val="00EA21EF"/>
    <w:rsid w:val="00EA2535"/>
    <w:rsid w:val="00EA3420"/>
    <w:rsid w:val="00EA3715"/>
    <w:rsid w:val="00EA392D"/>
    <w:rsid w:val="00EA4748"/>
    <w:rsid w:val="00EA50E9"/>
    <w:rsid w:val="00EA51C2"/>
    <w:rsid w:val="00EA6A3A"/>
    <w:rsid w:val="00EA6F0D"/>
    <w:rsid w:val="00EA78B9"/>
    <w:rsid w:val="00EB10ED"/>
    <w:rsid w:val="00EB18FD"/>
    <w:rsid w:val="00EB1D84"/>
    <w:rsid w:val="00EB2118"/>
    <w:rsid w:val="00EB27A1"/>
    <w:rsid w:val="00EB3140"/>
    <w:rsid w:val="00EB3203"/>
    <w:rsid w:val="00EB376C"/>
    <w:rsid w:val="00EB398E"/>
    <w:rsid w:val="00EB518D"/>
    <w:rsid w:val="00EB5568"/>
    <w:rsid w:val="00EB560D"/>
    <w:rsid w:val="00EB589A"/>
    <w:rsid w:val="00EB69A9"/>
    <w:rsid w:val="00EB6F12"/>
    <w:rsid w:val="00EB722E"/>
    <w:rsid w:val="00EB7256"/>
    <w:rsid w:val="00EB7B10"/>
    <w:rsid w:val="00EB7B5F"/>
    <w:rsid w:val="00EB7DFF"/>
    <w:rsid w:val="00EC0F4B"/>
    <w:rsid w:val="00EC1317"/>
    <w:rsid w:val="00EC1C24"/>
    <w:rsid w:val="00EC2908"/>
    <w:rsid w:val="00EC2EFD"/>
    <w:rsid w:val="00EC3CF5"/>
    <w:rsid w:val="00EC4381"/>
    <w:rsid w:val="00EC458B"/>
    <w:rsid w:val="00EC46E9"/>
    <w:rsid w:val="00EC5150"/>
    <w:rsid w:val="00EC5218"/>
    <w:rsid w:val="00EC574C"/>
    <w:rsid w:val="00EC609A"/>
    <w:rsid w:val="00EC713B"/>
    <w:rsid w:val="00EC7187"/>
    <w:rsid w:val="00ED016C"/>
    <w:rsid w:val="00ED1D8B"/>
    <w:rsid w:val="00ED225B"/>
    <w:rsid w:val="00ED3119"/>
    <w:rsid w:val="00ED3870"/>
    <w:rsid w:val="00ED3AF9"/>
    <w:rsid w:val="00ED59CC"/>
    <w:rsid w:val="00ED68C8"/>
    <w:rsid w:val="00ED6969"/>
    <w:rsid w:val="00ED7685"/>
    <w:rsid w:val="00ED78B5"/>
    <w:rsid w:val="00EE01FA"/>
    <w:rsid w:val="00EE078A"/>
    <w:rsid w:val="00EE3AC4"/>
    <w:rsid w:val="00EE5729"/>
    <w:rsid w:val="00EE5EBD"/>
    <w:rsid w:val="00EE7259"/>
    <w:rsid w:val="00EE7845"/>
    <w:rsid w:val="00EF04B7"/>
    <w:rsid w:val="00EF05E3"/>
    <w:rsid w:val="00EF1385"/>
    <w:rsid w:val="00EF1AB8"/>
    <w:rsid w:val="00EF1ECE"/>
    <w:rsid w:val="00EF1FF2"/>
    <w:rsid w:val="00EF229A"/>
    <w:rsid w:val="00EF2B73"/>
    <w:rsid w:val="00EF2F66"/>
    <w:rsid w:val="00EF457C"/>
    <w:rsid w:val="00EF4C6B"/>
    <w:rsid w:val="00EF5403"/>
    <w:rsid w:val="00EF6995"/>
    <w:rsid w:val="00EF6B23"/>
    <w:rsid w:val="00EF6C41"/>
    <w:rsid w:val="00EF6F70"/>
    <w:rsid w:val="00EF7334"/>
    <w:rsid w:val="00EF7575"/>
    <w:rsid w:val="00F009FF"/>
    <w:rsid w:val="00F00FFE"/>
    <w:rsid w:val="00F010F6"/>
    <w:rsid w:val="00F0119B"/>
    <w:rsid w:val="00F01A48"/>
    <w:rsid w:val="00F01BE6"/>
    <w:rsid w:val="00F02119"/>
    <w:rsid w:val="00F023BF"/>
    <w:rsid w:val="00F03EAC"/>
    <w:rsid w:val="00F03F97"/>
    <w:rsid w:val="00F04DF5"/>
    <w:rsid w:val="00F05C46"/>
    <w:rsid w:val="00F05F46"/>
    <w:rsid w:val="00F0640C"/>
    <w:rsid w:val="00F06EA8"/>
    <w:rsid w:val="00F07ED9"/>
    <w:rsid w:val="00F10122"/>
    <w:rsid w:val="00F10E94"/>
    <w:rsid w:val="00F11355"/>
    <w:rsid w:val="00F11999"/>
    <w:rsid w:val="00F12505"/>
    <w:rsid w:val="00F129E9"/>
    <w:rsid w:val="00F13B58"/>
    <w:rsid w:val="00F15268"/>
    <w:rsid w:val="00F160E8"/>
    <w:rsid w:val="00F1610A"/>
    <w:rsid w:val="00F16A65"/>
    <w:rsid w:val="00F16C94"/>
    <w:rsid w:val="00F17589"/>
    <w:rsid w:val="00F17665"/>
    <w:rsid w:val="00F2384C"/>
    <w:rsid w:val="00F2424A"/>
    <w:rsid w:val="00F244F0"/>
    <w:rsid w:val="00F246F1"/>
    <w:rsid w:val="00F24813"/>
    <w:rsid w:val="00F24E3F"/>
    <w:rsid w:val="00F25855"/>
    <w:rsid w:val="00F25BE6"/>
    <w:rsid w:val="00F26CCB"/>
    <w:rsid w:val="00F26FC9"/>
    <w:rsid w:val="00F27750"/>
    <w:rsid w:val="00F27C29"/>
    <w:rsid w:val="00F27E41"/>
    <w:rsid w:val="00F306D2"/>
    <w:rsid w:val="00F31B62"/>
    <w:rsid w:val="00F31EE8"/>
    <w:rsid w:val="00F323ED"/>
    <w:rsid w:val="00F331F8"/>
    <w:rsid w:val="00F332CC"/>
    <w:rsid w:val="00F336C2"/>
    <w:rsid w:val="00F33BFC"/>
    <w:rsid w:val="00F35D64"/>
    <w:rsid w:val="00F35E61"/>
    <w:rsid w:val="00F36B19"/>
    <w:rsid w:val="00F372B7"/>
    <w:rsid w:val="00F37369"/>
    <w:rsid w:val="00F37941"/>
    <w:rsid w:val="00F40732"/>
    <w:rsid w:val="00F41B5F"/>
    <w:rsid w:val="00F42510"/>
    <w:rsid w:val="00F440D2"/>
    <w:rsid w:val="00F4430E"/>
    <w:rsid w:val="00F44661"/>
    <w:rsid w:val="00F44923"/>
    <w:rsid w:val="00F45182"/>
    <w:rsid w:val="00F4619D"/>
    <w:rsid w:val="00F468AB"/>
    <w:rsid w:val="00F47E72"/>
    <w:rsid w:val="00F50412"/>
    <w:rsid w:val="00F51F1C"/>
    <w:rsid w:val="00F523D6"/>
    <w:rsid w:val="00F52512"/>
    <w:rsid w:val="00F526F3"/>
    <w:rsid w:val="00F52C94"/>
    <w:rsid w:val="00F52D30"/>
    <w:rsid w:val="00F52FA5"/>
    <w:rsid w:val="00F54A09"/>
    <w:rsid w:val="00F54A16"/>
    <w:rsid w:val="00F54C40"/>
    <w:rsid w:val="00F54C4E"/>
    <w:rsid w:val="00F5565E"/>
    <w:rsid w:val="00F5617C"/>
    <w:rsid w:val="00F573EF"/>
    <w:rsid w:val="00F5743F"/>
    <w:rsid w:val="00F576F2"/>
    <w:rsid w:val="00F579E4"/>
    <w:rsid w:val="00F57AE4"/>
    <w:rsid w:val="00F6010E"/>
    <w:rsid w:val="00F60FAB"/>
    <w:rsid w:val="00F62790"/>
    <w:rsid w:val="00F62DCD"/>
    <w:rsid w:val="00F633E3"/>
    <w:rsid w:val="00F641E8"/>
    <w:rsid w:val="00F64322"/>
    <w:rsid w:val="00F65BFB"/>
    <w:rsid w:val="00F65D97"/>
    <w:rsid w:val="00F65DFE"/>
    <w:rsid w:val="00F662BA"/>
    <w:rsid w:val="00F66884"/>
    <w:rsid w:val="00F66CBD"/>
    <w:rsid w:val="00F67006"/>
    <w:rsid w:val="00F673DE"/>
    <w:rsid w:val="00F677E8"/>
    <w:rsid w:val="00F67B0D"/>
    <w:rsid w:val="00F67B21"/>
    <w:rsid w:val="00F67B3D"/>
    <w:rsid w:val="00F70204"/>
    <w:rsid w:val="00F70440"/>
    <w:rsid w:val="00F711B9"/>
    <w:rsid w:val="00F725AB"/>
    <w:rsid w:val="00F72B39"/>
    <w:rsid w:val="00F73051"/>
    <w:rsid w:val="00F73A0C"/>
    <w:rsid w:val="00F74133"/>
    <w:rsid w:val="00F758E5"/>
    <w:rsid w:val="00F75F42"/>
    <w:rsid w:val="00F75FB0"/>
    <w:rsid w:val="00F76054"/>
    <w:rsid w:val="00F76D73"/>
    <w:rsid w:val="00F76F12"/>
    <w:rsid w:val="00F77942"/>
    <w:rsid w:val="00F77F36"/>
    <w:rsid w:val="00F80944"/>
    <w:rsid w:val="00F80D6D"/>
    <w:rsid w:val="00F812C4"/>
    <w:rsid w:val="00F81FA4"/>
    <w:rsid w:val="00F82559"/>
    <w:rsid w:val="00F827A2"/>
    <w:rsid w:val="00F828F1"/>
    <w:rsid w:val="00F82921"/>
    <w:rsid w:val="00F8305D"/>
    <w:rsid w:val="00F8348A"/>
    <w:rsid w:val="00F83B31"/>
    <w:rsid w:val="00F84546"/>
    <w:rsid w:val="00F85493"/>
    <w:rsid w:val="00F85574"/>
    <w:rsid w:val="00F85AFA"/>
    <w:rsid w:val="00F86DC6"/>
    <w:rsid w:val="00F86FB7"/>
    <w:rsid w:val="00F8700D"/>
    <w:rsid w:val="00F873E5"/>
    <w:rsid w:val="00F87E58"/>
    <w:rsid w:val="00F9078F"/>
    <w:rsid w:val="00F90D78"/>
    <w:rsid w:val="00F90DBC"/>
    <w:rsid w:val="00F90EA6"/>
    <w:rsid w:val="00F93340"/>
    <w:rsid w:val="00F934F0"/>
    <w:rsid w:val="00F93AD1"/>
    <w:rsid w:val="00F93D06"/>
    <w:rsid w:val="00F9416B"/>
    <w:rsid w:val="00F941A5"/>
    <w:rsid w:val="00F94E68"/>
    <w:rsid w:val="00F957BE"/>
    <w:rsid w:val="00F95B61"/>
    <w:rsid w:val="00F95C85"/>
    <w:rsid w:val="00F96AA1"/>
    <w:rsid w:val="00F979FB"/>
    <w:rsid w:val="00FA23AB"/>
    <w:rsid w:val="00FA3405"/>
    <w:rsid w:val="00FA4C17"/>
    <w:rsid w:val="00FA4C68"/>
    <w:rsid w:val="00FA61C4"/>
    <w:rsid w:val="00FA7502"/>
    <w:rsid w:val="00FA753F"/>
    <w:rsid w:val="00FA7915"/>
    <w:rsid w:val="00FB0489"/>
    <w:rsid w:val="00FB069C"/>
    <w:rsid w:val="00FB1202"/>
    <w:rsid w:val="00FB1CCF"/>
    <w:rsid w:val="00FB2D64"/>
    <w:rsid w:val="00FB3454"/>
    <w:rsid w:val="00FB40C1"/>
    <w:rsid w:val="00FB4199"/>
    <w:rsid w:val="00FB46F0"/>
    <w:rsid w:val="00FB4A31"/>
    <w:rsid w:val="00FB554C"/>
    <w:rsid w:val="00FB5595"/>
    <w:rsid w:val="00FB5B39"/>
    <w:rsid w:val="00FB7029"/>
    <w:rsid w:val="00FB77E4"/>
    <w:rsid w:val="00FB77F6"/>
    <w:rsid w:val="00FB7B7F"/>
    <w:rsid w:val="00FC0D07"/>
    <w:rsid w:val="00FC11A6"/>
    <w:rsid w:val="00FC2437"/>
    <w:rsid w:val="00FC2C77"/>
    <w:rsid w:val="00FC3324"/>
    <w:rsid w:val="00FC35CA"/>
    <w:rsid w:val="00FC3BE1"/>
    <w:rsid w:val="00FC4411"/>
    <w:rsid w:val="00FC6613"/>
    <w:rsid w:val="00FC6FCA"/>
    <w:rsid w:val="00FC6FFB"/>
    <w:rsid w:val="00FD03B2"/>
    <w:rsid w:val="00FD03C7"/>
    <w:rsid w:val="00FD09F5"/>
    <w:rsid w:val="00FD0A3A"/>
    <w:rsid w:val="00FD0D20"/>
    <w:rsid w:val="00FD111B"/>
    <w:rsid w:val="00FD2815"/>
    <w:rsid w:val="00FD2C59"/>
    <w:rsid w:val="00FD34B0"/>
    <w:rsid w:val="00FD5319"/>
    <w:rsid w:val="00FD56F0"/>
    <w:rsid w:val="00FD6DF1"/>
    <w:rsid w:val="00FD72FE"/>
    <w:rsid w:val="00FD76A2"/>
    <w:rsid w:val="00FD7720"/>
    <w:rsid w:val="00FD77B4"/>
    <w:rsid w:val="00FD7C12"/>
    <w:rsid w:val="00FE0D4D"/>
    <w:rsid w:val="00FE0E60"/>
    <w:rsid w:val="00FE148A"/>
    <w:rsid w:val="00FE2036"/>
    <w:rsid w:val="00FE24C8"/>
    <w:rsid w:val="00FE25CD"/>
    <w:rsid w:val="00FE2774"/>
    <w:rsid w:val="00FE32CA"/>
    <w:rsid w:val="00FE32D6"/>
    <w:rsid w:val="00FE3312"/>
    <w:rsid w:val="00FE40A7"/>
    <w:rsid w:val="00FE430F"/>
    <w:rsid w:val="00FE44B8"/>
    <w:rsid w:val="00FE4AA8"/>
    <w:rsid w:val="00FE4DEB"/>
    <w:rsid w:val="00FE684C"/>
    <w:rsid w:val="00FE7064"/>
    <w:rsid w:val="00FF02DF"/>
    <w:rsid w:val="00FF0DF4"/>
    <w:rsid w:val="00FF15AA"/>
    <w:rsid w:val="00FF1EB5"/>
    <w:rsid w:val="00FF1F52"/>
    <w:rsid w:val="00FF3E60"/>
    <w:rsid w:val="00FF4108"/>
    <w:rsid w:val="00FF4159"/>
    <w:rsid w:val="00FF417E"/>
    <w:rsid w:val="00FF46A1"/>
    <w:rsid w:val="00FF53BC"/>
    <w:rsid w:val="00FF5A48"/>
    <w:rsid w:val="00FF617D"/>
    <w:rsid w:val="00FF688E"/>
    <w:rsid w:val="00FF6BC1"/>
    <w:rsid w:val="00FF7882"/>
    <w:rsid w:val="00FF7A31"/>
    <w:rsid w:val="00FF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f30"/>
    </o:shapedefaults>
    <o:shapelayout v:ext="edit">
      <o:idmap v:ext="edit" data="1"/>
    </o:shapelayout>
  </w:shapeDefaults>
  <w:decimalSymbol w:val="."/>
  <w:listSeparator w:val=","/>
  <w14:docId w14:val="2D9618F4"/>
  <w15:docId w15:val="{E9EFCE7B-CF03-4D4C-AB74-C932F484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386"/>
    <w:rPr>
      <w:rFonts w:ascii="Times New Roman" w:hAnsi="Times New Roman"/>
      <w:sz w:val="24"/>
      <w:szCs w:val="22"/>
    </w:rPr>
  </w:style>
  <w:style w:type="paragraph" w:styleId="Heading1">
    <w:name w:val="heading 1"/>
    <w:basedOn w:val="Normal"/>
    <w:link w:val="Heading1Char"/>
    <w:uiPriority w:val="99"/>
    <w:qFormat/>
    <w:locked/>
    <w:rsid w:val="00192386"/>
    <w:pPr>
      <w:spacing w:line="360" w:lineRule="auto"/>
      <w:outlineLvl w:val="0"/>
    </w:pPr>
    <w:rPr>
      <w:b/>
      <w:caps/>
      <w:szCs w:val="24"/>
    </w:rPr>
  </w:style>
  <w:style w:type="paragraph" w:styleId="Heading2">
    <w:name w:val="heading 2"/>
    <w:basedOn w:val="Normal"/>
    <w:next w:val="Normal"/>
    <w:link w:val="Heading2Char"/>
    <w:unhideWhenUsed/>
    <w:qFormat/>
    <w:locked/>
    <w:rsid w:val="00192386"/>
    <w:pPr>
      <w:spacing w:line="360" w:lineRule="auto"/>
      <w:jc w:val="both"/>
      <w:outlineLvl w:val="1"/>
    </w:pPr>
    <w:rPr>
      <w:b/>
    </w:rPr>
  </w:style>
  <w:style w:type="paragraph" w:styleId="Heading3">
    <w:name w:val="heading 3"/>
    <w:basedOn w:val="Normal"/>
    <w:next w:val="Normal"/>
    <w:link w:val="Heading3Char"/>
    <w:unhideWhenUsed/>
    <w:qFormat/>
    <w:locked/>
    <w:rsid w:val="00192386"/>
    <w:pPr>
      <w:spacing w:line="360" w:lineRule="auto"/>
      <w:jc w:val="both"/>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92386"/>
    <w:rPr>
      <w:rFonts w:ascii="Times New Roman" w:hAnsi="Times New Roman"/>
      <w:b/>
      <w:caps/>
      <w:sz w:val="24"/>
      <w:szCs w:val="24"/>
    </w:rPr>
  </w:style>
  <w:style w:type="character" w:styleId="Hyperlink">
    <w:name w:val="Hyperlink"/>
    <w:uiPriority w:val="99"/>
    <w:rsid w:val="00CD6FAD"/>
    <w:rPr>
      <w:rFonts w:cs="Times New Roman"/>
      <w:color w:val="0000FF"/>
      <w:u w:val="single"/>
    </w:rPr>
  </w:style>
  <w:style w:type="paragraph" w:styleId="Footer">
    <w:name w:val="footer"/>
    <w:basedOn w:val="Normal"/>
    <w:link w:val="FooterChar"/>
    <w:uiPriority w:val="99"/>
    <w:rsid w:val="00CD6FAD"/>
    <w:pPr>
      <w:tabs>
        <w:tab w:val="center" w:pos="4680"/>
        <w:tab w:val="right" w:pos="9360"/>
      </w:tabs>
    </w:pPr>
    <w:rPr>
      <w:rFonts w:ascii="Calibri" w:hAnsi="Calibri"/>
      <w:sz w:val="20"/>
      <w:szCs w:val="20"/>
      <w:lang w:val="x-none" w:eastAsia="x-none"/>
    </w:rPr>
  </w:style>
  <w:style w:type="character" w:customStyle="1" w:styleId="FooterChar">
    <w:name w:val="Footer Char"/>
    <w:link w:val="Footer"/>
    <w:uiPriority w:val="99"/>
    <w:locked/>
    <w:rsid w:val="00CD6FAD"/>
    <w:rPr>
      <w:rFonts w:ascii="Calibri" w:hAnsi="Calibri"/>
      <w:sz w:val="20"/>
    </w:rPr>
  </w:style>
  <w:style w:type="paragraph" w:styleId="FootnoteText">
    <w:name w:val="footnote text"/>
    <w:basedOn w:val="Normal"/>
    <w:link w:val="FootnoteTextChar"/>
    <w:uiPriority w:val="99"/>
    <w:rsid w:val="00433031"/>
    <w:rPr>
      <w:rFonts w:ascii="Calibri" w:hAnsi="Calibri"/>
      <w:sz w:val="20"/>
      <w:szCs w:val="20"/>
      <w:lang w:val="x-none" w:eastAsia="x-none"/>
    </w:rPr>
  </w:style>
  <w:style w:type="character" w:customStyle="1" w:styleId="FootnoteTextChar">
    <w:name w:val="Footnote Text Char"/>
    <w:link w:val="FootnoteText"/>
    <w:uiPriority w:val="99"/>
    <w:locked/>
    <w:rsid w:val="00433031"/>
    <w:rPr>
      <w:rFonts w:ascii="Calibri" w:hAnsi="Calibri"/>
      <w:sz w:val="20"/>
    </w:rPr>
  </w:style>
  <w:style w:type="character" w:styleId="FootnoteReference">
    <w:name w:val="footnote reference"/>
    <w:uiPriority w:val="99"/>
    <w:semiHidden/>
    <w:rsid w:val="00433031"/>
    <w:rPr>
      <w:rFonts w:cs="Times New Roman"/>
      <w:vertAlign w:val="superscript"/>
    </w:rPr>
  </w:style>
  <w:style w:type="paragraph" w:styleId="Header">
    <w:name w:val="header"/>
    <w:basedOn w:val="Normal"/>
    <w:link w:val="HeaderChar"/>
    <w:uiPriority w:val="99"/>
    <w:rsid w:val="005C4339"/>
    <w:pPr>
      <w:tabs>
        <w:tab w:val="center" w:pos="4680"/>
        <w:tab w:val="right" w:pos="9360"/>
      </w:tabs>
    </w:pPr>
    <w:rPr>
      <w:rFonts w:ascii="Calibri" w:hAnsi="Calibri"/>
      <w:sz w:val="20"/>
      <w:szCs w:val="20"/>
      <w:lang w:val="x-none" w:eastAsia="x-none"/>
    </w:rPr>
  </w:style>
  <w:style w:type="character" w:customStyle="1" w:styleId="HeaderChar">
    <w:name w:val="Header Char"/>
    <w:link w:val="Header"/>
    <w:uiPriority w:val="99"/>
    <w:locked/>
    <w:rsid w:val="005C4339"/>
    <w:rPr>
      <w:rFonts w:ascii="Calibri" w:hAnsi="Calibri"/>
    </w:rPr>
  </w:style>
  <w:style w:type="paragraph" w:styleId="NormalWeb">
    <w:name w:val="Normal (Web)"/>
    <w:basedOn w:val="Normal"/>
    <w:uiPriority w:val="99"/>
    <w:semiHidden/>
    <w:rsid w:val="007238CA"/>
    <w:pPr>
      <w:spacing w:before="100" w:beforeAutospacing="1" w:after="100" w:afterAutospacing="1"/>
    </w:pPr>
    <w:rPr>
      <w:rFonts w:eastAsia="Times New Roman"/>
      <w:szCs w:val="24"/>
    </w:rPr>
  </w:style>
  <w:style w:type="paragraph" w:styleId="BalloonText">
    <w:name w:val="Balloon Text"/>
    <w:basedOn w:val="Normal"/>
    <w:link w:val="BalloonTextChar"/>
    <w:uiPriority w:val="99"/>
    <w:semiHidden/>
    <w:rsid w:val="008870D0"/>
    <w:rPr>
      <w:rFonts w:ascii="Tahoma" w:hAnsi="Tahoma"/>
      <w:sz w:val="16"/>
      <w:szCs w:val="20"/>
      <w:lang w:val="x-none" w:eastAsia="x-none"/>
    </w:rPr>
  </w:style>
  <w:style w:type="character" w:customStyle="1" w:styleId="BalloonTextChar">
    <w:name w:val="Balloon Text Char"/>
    <w:link w:val="BalloonText"/>
    <w:uiPriority w:val="99"/>
    <w:semiHidden/>
    <w:locked/>
    <w:rsid w:val="008870D0"/>
    <w:rPr>
      <w:rFonts w:ascii="Tahoma" w:hAnsi="Tahoma"/>
      <w:sz w:val="16"/>
    </w:rPr>
  </w:style>
  <w:style w:type="paragraph" w:styleId="ListParagraph">
    <w:name w:val="List Paragraph"/>
    <w:basedOn w:val="Normal"/>
    <w:uiPriority w:val="34"/>
    <w:qFormat/>
    <w:rsid w:val="00B8031A"/>
    <w:pPr>
      <w:ind w:left="720"/>
      <w:contextualSpacing/>
    </w:pPr>
  </w:style>
  <w:style w:type="character" w:customStyle="1" w:styleId="hps">
    <w:name w:val="hps"/>
    <w:uiPriority w:val="99"/>
    <w:rsid w:val="00837441"/>
  </w:style>
  <w:style w:type="paragraph" w:customStyle="1" w:styleId="Default">
    <w:name w:val="Default"/>
    <w:link w:val="DefaultChar"/>
    <w:rsid w:val="00BC3C72"/>
    <w:pPr>
      <w:autoSpaceDE w:val="0"/>
      <w:autoSpaceDN w:val="0"/>
      <w:adjustRightInd w:val="0"/>
    </w:pPr>
    <w:rPr>
      <w:rFonts w:ascii="Arial" w:hAnsi="Arial"/>
      <w:color w:val="000000"/>
      <w:sz w:val="24"/>
      <w:szCs w:val="22"/>
    </w:rPr>
  </w:style>
  <w:style w:type="character" w:customStyle="1" w:styleId="DefaultChar">
    <w:name w:val="Default Char"/>
    <w:link w:val="Default"/>
    <w:locked/>
    <w:rsid w:val="00BC3C72"/>
    <w:rPr>
      <w:rFonts w:ascii="Arial" w:hAnsi="Arial"/>
      <w:color w:val="000000"/>
      <w:sz w:val="24"/>
      <w:szCs w:val="22"/>
      <w:lang w:bidi="ar-SA"/>
    </w:rPr>
  </w:style>
  <w:style w:type="character" w:customStyle="1" w:styleId="A4">
    <w:name w:val="A4"/>
    <w:uiPriority w:val="99"/>
    <w:rsid w:val="00520B9B"/>
    <w:rPr>
      <w:color w:val="000000"/>
      <w:sz w:val="20"/>
    </w:rPr>
  </w:style>
  <w:style w:type="paragraph" w:customStyle="1" w:styleId="Pa24">
    <w:name w:val="Pa24"/>
    <w:basedOn w:val="Default"/>
    <w:next w:val="Default"/>
    <w:uiPriority w:val="99"/>
    <w:rsid w:val="005B648C"/>
    <w:pPr>
      <w:spacing w:line="181" w:lineRule="atLeast"/>
    </w:pPr>
    <w:rPr>
      <w:rFonts w:ascii="Helvetica LT Std Cond" w:hAnsi="Helvetica LT Std Cond"/>
      <w:color w:val="auto"/>
    </w:rPr>
  </w:style>
  <w:style w:type="character" w:styleId="CommentReference">
    <w:name w:val="annotation reference"/>
    <w:uiPriority w:val="99"/>
    <w:semiHidden/>
    <w:rsid w:val="00FF53BC"/>
    <w:rPr>
      <w:rFonts w:cs="Times New Roman"/>
      <w:sz w:val="16"/>
    </w:rPr>
  </w:style>
  <w:style w:type="paragraph" w:styleId="CommentText">
    <w:name w:val="annotation text"/>
    <w:basedOn w:val="Normal"/>
    <w:link w:val="CommentTextChar"/>
    <w:uiPriority w:val="99"/>
    <w:semiHidden/>
    <w:rsid w:val="00FF53BC"/>
    <w:rPr>
      <w:sz w:val="20"/>
      <w:szCs w:val="20"/>
      <w:lang w:eastAsia="ja-JP"/>
    </w:rPr>
  </w:style>
  <w:style w:type="character" w:customStyle="1" w:styleId="CommentTextChar">
    <w:name w:val="Comment Text Char"/>
    <w:basedOn w:val="DefaultParagraphFont"/>
    <w:link w:val="CommentText"/>
    <w:uiPriority w:val="99"/>
    <w:semiHidden/>
    <w:locked/>
    <w:rsid w:val="00FF53BC"/>
  </w:style>
  <w:style w:type="paragraph" w:styleId="CommentSubject">
    <w:name w:val="annotation subject"/>
    <w:basedOn w:val="CommentText"/>
    <w:next w:val="CommentText"/>
    <w:link w:val="CommentSubjectChar"/>
    <w:uiPriority w:val="99"/>
    <w:semiHidden/>
    <w:rsid w:val="00FF53BC"/>
    <w:rPr>
      <w:rFonts w:ascii="Calibri" w:hAnsi="Calibri"/>
      <w:b/>
      <w:lang w:val="x-none" w:eastAsia="x-none"/>
    </w:rPr>
  </w:style>
  <w:style w:type="character" w:customStyle="1" w:styleId="CommentSubjectChar">
    <w:name w:val="Comment Subject Char"/>
    <w:link w:val="CommentSubject"/>
    <w:uiPriority w:val="99"/>
    <w:semiHidden/>
    <w:locked/>
    <w:rsid w:val="00FF53BC"/>
    <w:rPr>
      <w:b/>
    </w:rPr>
  </w:style>
  <w:style w:type="character" w:customStyle="1" w:styleId="hit">
    <w:name w:val="hit"/>
    <w:uiPriority w:val="99"/>
    <w:rsid w:val="00BB0AC9"/>
  </w:style>
  <w:style w:type="paragraph" w:styleId="Revision">
    <w:name w:val="Revision"/>
    <w:hidden/>
    <w:uiPriority w:val="99"/>
    <w:semiHidden/>
    <w:rsid w:val="00EF6F70"/>
    <w:rPr>
      <w:sz w:val="22"/>
      <w:szCs w:val="22"/>
    </w:rPr>
  </w:style>
  <w:style w:type="character" w:customStyle="1" w:styleId="googqs-tidbit1">
    <w:name w:val="goog_qs-tidbit1"/>
    <w:rsid w:val="006F17A0"/>
    <w:rPr>
      <w:vanish w:val="0"/>
      <w:webHidden w:val="0"/>
      <w:specVanish w:val="0"/>
    </w:rPr>
  </w:style>
  <w:style w:type="paragraph" w:styleId="BodyText">
    <w:name w:val="Body Text"/>
    <w:basedOn w:val="Normal"/>
    <w:link w:val="BodyTextChar"/>
    <w:unhideWhenUsed/>
    <w:rsid w:val="00460475"/>
    <w:pPr>
      <w:jc w:val="both"/>
    </w:pPr>
    <w:rPr>
      <w:rFonts w:ascii="CG Times" w:eastAsia="Times New Roman" w:hAnsi="CG Times"/>
      <w:szCs w:val="24"/>
    </w:rPr>
  </w:style>
  <w:style w:type="character" w:customStyle="1" w:styleId="BodyTextChar">
    <w:name w:val="Body Text Char"/>
    <w:link w:val="BodyText"/>
    <w:rsid w:val="00460475"/>
    <w:rPr>
      <w:rFonts w:ascii="CG Times" w:eastAsia="Times New Roman" w:hAnsi="CG Times"/>
      <w:sz w:val="24"/>
      <w:szCs w:val="24"/>
    </w:rPr>
  </w:style>
  <w:style w:type="character" w:customStyle="1" w:styleId="Heading2Char">
    <w:name w:val="Heading 2 Char"/>
    <w:link w:val="Heading2"/>
    <w:rsid w:val="00192386"/>
    <w:rPr>
      <w:rFonts w:ascii="Times New Roman" w:hAnsi="Times New Roman"/>
      <w:b/>
      <w:sz w:val="24"/>
      <w:szCs w:val="22"/>
    </w:rPr>
  </w:style>
  <w:style w:type="paragraph" w:customStyle="1" w:styleId="CM3">
    <w:name w:val="CM3"/>
    <w:basedOn w:val="Default"/>
    <w:next w:val="Default"/>
    <w:rsid w:val="00AE63C6"/>
    <w:pPr>
      <w:widowControl w:val="0"/>
      <w:spacing w:before="120" w:after="120" w:line="568" w:lineRule="atLeast"/>
      <w:jc w:val="both"/>
    </w:pPr>
    <w:rPr>
      <w:rFonts w:ascii="Times New Roman" w:eastAsia="Times New Roman" w:hAnsi="Times New Roman"/>
      <w:color w:val="auto"/>
      <w:szCs w:val="24"/>
    </w:rPr>
  </w:style>
  <w:style w:type="character" w:customStyle="1" w:styleId="apple-converted-space">
    <w:name w:val="apple-converted-space"/>
    <w:rsid w:val="00F40732"/>
  </w:style>
  <w:style w:type="character" w:styleId="Strong">
    <w:name w:val="Strong"/>
    <w:uiPriority w:val="22"/>
    <w:qFormat/>
    <w:locked/>
    <w:rsid w:val="00D94CA9"/>
    <w:rPr>
      <w:b/>
      <w:bCs/>
    </w:rPr>
  </w:style>
  <w:style w:type="character" w:customStyle="1" w:styleId="FootnoteTextChar1">
    <w:name w:val="Footnote Text Char1"/>
    <w:uiPriority w:val="99"/>
    <w:locked/>
    <w:rsid w:val="009E1973"/>
    <w:rPr>
      <w:rFonts w:eastAsia="Times New Roman" w:cs="Times New Roman"/>
      <w:lang w:val="en-US" w:eastAsia="en-US" w:bidi="ar-SA"/>
    </w:rPr>
  </w:style>
  <w:style w:type="paragraph" w:styleId="Title">
    <w:name w:val="Title"/>
    <w:basedOn w:val="Normal"/>
    <w:link w:val="TitleChar"/>
    <w:qFormat/>
    <w:locked/>
    <w:rsid w:val="00914F06"/>
    <w:pPr>
      <w:jc w:val="center"/>
    </w:pPr>
    <w:rPr>
      <w:rFonts w:eastAsia="Times New Roman"/>
      <w:b/>
      <w:bCs/>
      <w:szCs w:val="24"/>
    </w:rPr>
  </w:style>
  <w:style w:type="character" w:customStyle="1" w:styleId="TitleChar">
    <w:name w:val="Title Char"/>
    <w:link w:val="Title"/>
    <w:rsid w:val="00914F06"/>
    <w:rPr>
      <w:rFonts w:ascii="Times New Roman" w:eastAsia="Times New Roman" w:hAnsi="Times New Roman"/>
      <w:b/>
      <w:bCs/>
      <w:sz w:val="24"/>
      <w:szCs w:val="24"/>
    </w:rPr>
  </w:style>
  <w:style w:type="table" w:styleId="TableGrid">
    <w:name w:val="Table Grid"/>
    <w:basedOn w:val="TableNormal"/>
    <w:uiPriority w:val="59"/>
    <w:locked/>
    <w:rsid w:val="00DB4A1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192386"/>
    <w:rPr>
      <w:rFonts w:ascii="Times New Roman" w:hAnsi="Times New Roman"/>
      <w:i/>
      <w:sz w:val="24"/>
      <w:szCs w:val="22"/>
    </w:rPr>
  </w:style>
  <w:style w:type="paragraph" w:customStyle="1" w:styleId="frfield">
    <w:name w:val="fr_field"/>
    <w:basedOn w:val="Normal"/>
    <w:rsid w:val="00F8700D"/>
    <w:pPr>
      <w:spacing w:before="100" w:beforeAutospacing="1" w:after="100" w:afterAutospacing="1"/>
    </w:pPr>
    <w:rPr>
      <w:rFonts w:eastAsia="Times New Roman"/>
      <w:szCs w:val="24"/>
    </w:rPr>
  </w:style>
  <w:style w:type="character" w:customStyle="1" w:styleId="frlabel">
    <w:name w:val="fr_label"/>
    <w:rsid w:val="00F8700D"/>
  </w:style>
  <w:style w:type="character" w:customStyle="1" w:styleId="hithilite">
    <w:name w:val="hithilite"/>
    <w:rsid w:val="00F8700D"/>
  </w:style>
  <w:style w:type="paragraph" w:customStyle="1" w:styleId="sourcetitle">
    <w:name w:val="sourcetitle"/>
    <w:basedOn w:val="Normal"/>
    <w:rsid w:val="00F8700D"/>
    <w:pPr>
      <w:spacing w:before="100" w:beforeAutospacing="1" w:after="100" w:afterAutospacing="1"/>
    </w:pPr>
    <w:rPr>
      <w:rFonts w:eastAsia="Times New Roman"/>
      <w:szCs w:val="24"/>
    </w:rPr>
  </w:style>
  <w:style w:type="character" w:customStyle="1" w:styleId="label">
    <w:name w:val="label"/>
    <w:rsid w:val="0061789C"/>
  </w:style>
  <w:style w:type="character" w:customStyle="1" w:styleId="sourcetitletxt">
    <w:name w:val="sourcetitle_txt"/>
    <w:rsid w:val="0061789C"/>
  </w:style>
  <w:style w:type="character" w:customStyle="1" w:styleId="journaloverlayclose">
    <w:name w:val="journal_overlay_close"/>
    <w:rsid w:val="0061789C"/>
  </w:style>
  <w:style w:type="character" w:customStyle="1" w:styleId="regmark">
    <w:name w:val="regmark"/>
    <w:rsid w:val="0061789C"/>
  </w:style>
  <w:style w:type="paragraph" w:customStyle="1" w:styleId="overlayjcrtext">
    <w:name w:val="overlayjcrtext"/>
    <w:basedOn w:val="Normal"/>
    <w:rsid w:val="0061789C"/>
    <w:pPr>
      <w:spacing w:before="100" w:beforeAutospacing="1" w:after="100" w:afterAutospacing="1"/>
    </w:pPr>
    <w:rPr>
      <w:rFonts w:eastAsia="Times New Roman"/>
      <w:szCs w:val="24"/>
    </w:rPr>
  </w:style>
  <w:style w:type="paragraph" w:customStyle="1" w:styleId="closewindow">
    <w:name w:val="closewindow"/>
    <w:basedOn w:val="Normal"/>
    <w:rsid w:val="0061789C"/>
    <w:pPr>
      <w:spacing w:before="100" w:beforeAutospacing="1" w:after="100" w:afterAutospacing="1"/>
    </w:pPr>
    <w:rPr>
      <w:rFonts w:eastAsia="Times New Roman"/>
      <w:szCs w:val="24"/>
    </w:rPr>
  </w:style>
  <w:style w:type="character" w:customStyle="1" w:styleId="databold">
    <w:name w:val="data_bold"/>
    <w:rsid w:val="0061789C"/>
  </w:style>
  <w:style w:type="paragraph" w:styleId="Caption">
    <w:name w:val="caption"/>
    <w:basedOn w:val="Normal"/>
    <w:next w:val="Normal"/>
    <w:uiPriority w:val="99"/>
    <w:qFormat/>
    <w:locked/>
    <w:rsid w:val="000B5D11"/>
    <w:pPr>
      <w:spacing w:before="120" w:after="120"/>
    </w:pPr>
    <w:rPr>
      <w:rFonts w:eastAsia="Times New Roman"/>
      <w:b/>
      <w:bCs/>
      <w:sz w:val="20"/>
      <w:szCs w:val="20"/>
    </w:rPr>
  </w:style>
  <w:style w:type="character" w:styleId="FollowedHyperlink">
    <w:name w:val="FollowedHyperlink"/>
    <w:uiPriority w:val="99"/>
    <w:semiHidden/>
    <w:unhideWhenUsed/>
    <w:rsid w:val="008145EE"/>
    <w:rPr>
      <w:color w:val="954F72"/>
      <w:u w:val="single"/>
    </w:rPr>
  </w:style>
  <w:style w:type="character" w:styleId="LineNumber">
    <w:name w:val="line number"/>
    <w:basedOn w:val="DefaultParagraphFont"/>
    <w:uiPriority w:val="99"/>
    <w:semiHidden/>
    <w:unhideWhenUsed/>
    <w:rsid w:val="00AC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79903">
      <w:bodyDiv w:val="1"/>
      <w:marLeft w:val="0"/>
      <w:marRight w:val="0"/>
      <w:marTop w:val="0"/>
      <w:marBottom w:val="0"/>
      <w:divBdr>
        <w:top w:val="none" w:sz="0" w:space="0" w:color="auto"/>
        <w:left w:val="none" w:sz="0" w:space="0" w:color="auto"/>
        <w:bottom w:val="none" w:sz="0" w:space="0" w:color="auto"/>
        <w:right w:val="none" w:sz="0" w:space="0" w:color="auto"/>
      </w:divBdr>
    </w:div>
    <w:div w:id="118882874">
      <w:bodyDiv w:val="1"/>
      <w:marLeft w:val="0"/>
      <w:marRight w:val="0"/>
      <w:marTop w:val="0"/>
      <w:marBottom w:val="0"/>
      <w:divBdr>
        <w:top w:val="none" w:sz="0" w:space="0" w:color="auto"/>
        <w:left w:val="none" w:sz="0" w:space="0" w:color="auto"/>
        <w:bottom w:val="none" w:sz="0" w:space="0" w:color="auto"/>
        <w:right w:val="none" w:sz="0" w:space="0" w:color="auto"/>
      </w:divBdr>
    </w:div>
    <w:div w:id="133764492">
      <w:bodyDiv w:val="1"/>
      <w:marLeft w:val="0"/>
      <w:marRight w:val="0"/>
      <w:marTop w:val="0"/>
      <w:marBottom w:val="0"/>
      <w:divBdr>
        <w:top w:val="none" w:sz="0" w:space="0" w:color="auto"/>
        <w:left w:val="none" w:sz="0" w:space="0" w:color="auto"/>
        <w:bottom w:val="none" w:sz="0" w:space="0" w:color="auto"/>
        <w:right w:val="none" w:sz="0" w:space="0" w:color="auto"/>
      </w:divBdr>
    </w:div>
    <w:div w:id="142626554">
      <w:bodyDiv w:val="1"/>
      <w:marLeft w:val="0"/>
      <w:marRight w:val="0"/>
      <w:marTop w:val="0"/>
      <w:marBottom w:val="0"/>
      <w:divBdr>
        <w:top w:val="none" w:sz="0" w:space="0" w:color="auto"/>
        <w:left w:val="none" w:sz="0" w:space="0" w:color="auto"/>
        <w:bottom w:val="none" w:sz="0" w:space="0" w:color="auto"/>
        <w:right w:val="none" w:sz="0" w:space="0" w:color="auto"/>
      </w:divBdr>
    </w:div>
    <w:div w:id="183062602">
      <w:bodyDiv w:val="1"/>
      <w:marLeft w:val="0"/>
      <w:marRight w:val="0"/>
      <w:marTop w:val="0"/>
      <w:marBottom w:val="0"/>
      <w:divBdr>
        <w:top w:val="none" w:sz="0" w:space="0" w:color="auto"/>
        <w:left w:val="none" w:sz="0" w:space="0" w:color="auto"/>
        <w:bottom w:val="none" w:sz="0" w:space="0" w:color="auto"/>
        <w:right w:val="none" w:sz="0" w:space="0" w:color="auto"/>
      </w:divBdr>
    </w:div>
    <w:div w:id="255485016">
      <w:bodyDiv w:val="1"/>
      <w:marLeft w:val="0"/>
      <w:marRight w:val="0"/>
      <w:marTop w:val="0"/>
      <w:marBottom w:val="0"/>
      <w:divBdr>
        <w:top w:val="none" w:sz="0" w:space="0" w:color="auto"/>
        <w:left w:val="none" w:sz="0" w:space="0" w:color="auto"/>
        <w:bottom w:val="none" w:sz="0" w:space="0" w:color="auto"/>
        <w:right w:val="none" w:sz="0" w:space="0" w:color="auto"/>
      </w:divBdr>
    </w:div>
    <w:div w:id="287245710">
      <w:bodyDiv w:val="1"/>
      <w:marLeft w:val="0"/>
      <w:marRight w:val="0"/>
      <w:marTop w:val="0"/>
      <w:marBottom w:val="0"/>
      <w:divBdr>
        <w:top w:val="none" w:sz="0" w:space="0" w:color="auto"/>
        <w:left w:val="none" w:sz="0" w:space="0" w:color="auto"/>
        <w:bottom w:val="none" w:sz="0" w:space="0" w:color="auto"/>
        <w:right w:val="none" w:sz="0" w:space="0" w:color="auto"/>
      </w:divBdr>
    </w:div>
    <w:div w:id="327028271">
      <w:bodyDiv w:val="1"/>
      <w:marLeft w:val="0"/>
      <w:marRight w:val="0"/>
      <w:marTop w:val="0"/>
      <w:marBottom w:val="0"/>
      <w:divBdr>
        <w:top w:val="none" w:sz="0" w:space="0" w:color="auto"/>
        <w:left w:val="none" w:sz="0" w:space="0" w:color="auto"/>
        <w:bottom w:val="none" w:sz="0" w:space="0" w:color="auto"/>
        <w:right w:val="none" w:sz="0" w:space="0" w:color="auto"/>
      </w:divBdr>
    </w:div>
    <w:div w:id="448356512">
      <w:bodyDiv w:val="1"/>
      <w:marLeft w:val="0"/>
      <w:marRight w:val="0"/>
      <w:marTop w:val="0"/>
      <w:marBottom w:val="0"/>
      <w:divBdr>
        <w:top w:val="none" w:sz="0" w:space="0" w:color="auto"/>
        <w:left w:val="none" w:sz="0" w:space="0" w:color="auto"/>
        <w:bottom w:val="none" w:sz="0" w:space="0" w:color="auto"/>
        <w:right w:val="none" w:sz="0" w:space="0" w:color="auto"/>
      </w:divBdr>
    </w:div>
    <w:div w:id="560793291">
      <w:bodyDiv w:val="1"/>
      <w:marLeft w:val="0"/>
      <w:marRight w:val="0"/>
      <w:marTop w:val="0"/>
      <w:marBottom w:val="0"/>
      <w:divBdr>
        <w:top w:val="none" w:sz="0" w:space="0" w:color="auto"/>
        <w:left w:val="none" w:sz="0" w:space="0" w:color="auto"/>
        <w:bottom w:val="none" w:sz="0" w:space="0" w:color="auto"/>
        <w:right w:val="none" w:sz="0" w:space="0" w:color="auto"/>
      </w:divBdr>
    </w:div>
    <w:div w:id="638849682">
      <w:bodyDiv w:val="1"/>
      <w:marLeft w:val="0"/>
      <w:marRight w:val="0"/>
      <w:marTop w:val="0"/>
      <w:marBottom w:val="0"/>
      <w:divBdr>
        <w:top w:val="none" w:sz="0" w:space="0" w:color="auto"/>
        <w:left w:val="none" w:sz="0" w:space="0" w:color="auto"/>
        <w:bottom w:val="none" w:sz="0" w:space="0" w:color="auto"/>
        <w:right w:val="none" w:sz="0" w:space="0" w:color="auto"/>
      </w:divBdr>
    </w:div>
    <w:div w:id="654189427">
      <w:bodyDiv w:val="1"/>
      <w:marLeft w:val="0"/>
      <w:marRight w:val="0"/>
      <w:marTop w:val="0"/>
      <w:marBottom w:val="0"/>
      <w:divBdr>
        <w:top w:val="none" w:sz="0" w:space="0" w:color="auto"/>
        <w:left w:val="none" w:sz="0" w:space="0" w:color="auto"/>
        <w:bottom w:val="none" w:sz="0" w:space="0" w:color="auto"/>
        <w:right w:val="none" w:sz="0" w:space="0" w:color="auto"/>
      </w:divBdr>
    </w:div>
    <w:div w:id="675763004">
      <w:bodyDiv w:val="1"/>
      <w:marLeft w:val="0"/>
      <w:marRight w:val="0"/>
      <w:marTop w:val="0"/>
      <w:marBottom w:val="0"/>
      <w:divBdr>
        <w:top w:val="none" w:sz="0" w:space="0" w:color="auto"/>
        <w:left w:val="none" w:sz="0" w:space="0" w:color="auto"/>
        <w:bottom w:val="none" w:sz="0" w:space="0" w:color="auto"/>
        <w:right w:val="none" w:sz="0" w:space="0" w:color="auto"/>
      </w:divBdr>
    </w:div>
    <w:div w:id="690565755">
      <w:bodyDiv w:val="1"/>
      <w:marLeft w:val="0"/>
      <w:marRight w:val="0"/>
      <w:marTop w:val="0"/>
      <w:marBottom w:val="0"/>
      <w:divBdr>
        <w:top w:val="none" w:sz="0" w:space="0" w:color="auto"/>
        <w:left w:val="none" w:sz="0" w:space="0" w:color="auto"/>
        <w:bottom w:val="none" w:sz="0" w:space="0" w:color="auto"/>
        <w:right w:val="none" w:sz="0" w:space="0" w:color="auto"/>
      </w:divBdr>
    </w:div>
    <w:div w:id="732243823">
      <w:bodyDiv w:val="1"/>
      <w:marLeft w:val="0"/>
      <w:marRight w:val="0"/>
      <w:marTop w:val="0"/>
      <w:marBottom w:val="0"/>
      <w:divBdr>
        <w:top w:val="none" w:sz="0" w:space="0" w:color="auto"/>
        <w:left w:val="none" w:sz="0" w:space="0" w:color="auto"/>
        <w:bottom w:val="none" w:sz="0" w:space="0" w:color="auto"/>
        <w:right w:val="none" w:sz="0" w:space="0" w:color="auto"/>
      </w:divBdr>
    </w:div>
    <w:div w:id="899050601">
      <w:bodyDiv w:val="1"/>
      <w:marLeft w:val="0"/>
      <w:marRight w:val="0"/>
      <w:marTop w:val="0"/>
      <w:marBottom w:val="0"/>
      <w:divBdr>
        <w:top w:val="none" w:sz="0" w:space="0" w:color="auto"/>
        <w:left w:val="none" w:sz="0" w:space="0" w:color="auto"/>
        <w:bottom w:val="none" w:sz="0" w:space="0" w:color="auto"/>
        <w:right w:val="none" w:sz="0" w:space="0" w:color="auto"/>
      </w:divBdr>
      <w:divsChild>
        <w:div w:id="392386801">
          <w:marLeft w:val="0"/>
          <w:marRight w:val="0"/>
          <w:marTop w:val="0"/>
          <w:marBottom w:val="0"/>
          <w:divBdr>
            <w:top w:val="none" w:sz="0" w:space="0" w:color="auto"/>
            <w:left w:val="none" w:sz="0" w:space="0" w:color="auto"/>
            <w:bottom w:val="none" w:sz="0" w:space="0" w:color="auto"/>
            <w:right w:val="none" w:sz="0" w:space="0" w:color="auto"/>
          </w:divBdr>
          <w:divsChild>
            <w:div w:id="651057662">
              <w:marLeft w:val="0"/>
              <w:marRight w:val="0"/>
              <w:marTop w:val="0"/>
              <w:marBottom w:val="0"/>
              <w:divBdr>
                <w:top w:val="none" w:sz="0" w:space="0" w:color="auto"/>
                <w:left w:val="none" w:sz="0" w:space="0" w:color="auto"/>
                <w:bottom w:val="none" w:sz="0" w:space="0" w:color="auto"/>
                <w:right w:val="none" w:sz="0" w:space="0" w:color="auto"/>
              </w:divBdr>
              <w:divsChild>
                <w:div w:id="80492892">
                  <w:marLeft w:val="0"/>
                  <w:marRight w:val="0"/>
                  <w:marTop w:val="0"/>
                  <w:marBottom w:val="0"/>
                  <w:divBdr>
                    <w:top w:val="none" w:sz="0" w:space="0" w:color="auto"/>
                    <w:left w:val="none" w:sz="0" w:space="0" w:color="auto"/>
                    <w:bottom w:val="none" w:sz="0" w:space="0" w:color="auto"/>
                    <w:right w:val="none" w:sz="0" w:space="0" w:color="auto"/>
                  </w:divBdr>
                  <w:divsChild>
                    <w:div w:id="1016345167">
                      <w:marLeft w:val="0"/>
                      <w:marRight w:val="0"/>
                      <w:marTop w:val="0"/>
                      <w:marBottom w:val="0"/>
                      <w:divBdr>
                        <w:top w:val="none" w:sz="0" w:space="0" w:color="auto"/>
                        <w:left w:val="none" w:sz="0" w:space="0" w:color="auto"/>
                        <w:bottom w:val="none" w:sz="0" w:space="0" w:color="auto"/>
                        <w:right w:val="none" w:sz="0" w:space="0" w:color="auto"/>
                      </w:divBdr>
                      <w:divsChild>
                        <w:div w:id="307440451">
                          <w:marLeft w:val="0"/>
                          <w:marRight w:val="0"/>
                          <w:marTop w:val="0"/>
                          <w:marBottom w:val="0"/>
                          <w:divBdr>
                            <w:top w:val="none" w:sz="0" w:space="0" w:color="auto"/>
                            <w:left w:val="none" w:sz="0" w:space="0" w:color="auto"/>
                            <w:bottom w:val="none" w:sz="0" w:space="0" w:color="auto"/>
                            <w:right w:val="none" w:sz="0" w:space="0" w:color="auto"/>
                          </w:divBdr>
                          <w:divsChild>
                            <w:div w:id="177500515">
                              <w:marLeft w:val="0"/>
                              <w:marRight w:val="0"/>
                              <w:marTop w:val="0"/>
                              <w:marBottom w:val="0"/>
                              <w:divBdr>
                                <w:top w:val="none" w:sz="0" w:space="0" w:color="auto"/>
                                <w:left w:val="none" w:sz="0" w:space="0" w:color="auto"/>
                                <w:bottom w:val="none" w:sz="0" w:space="0" w:color="auto"/>
                                <w:right w:val="none" w:sz="0" w:space="0" w:color="auto"/>
                              </w:divBdr>
                              <w:divsChild>
                                <w:div w:id="1496874590">
                                  <w:marLeft w:val="0"/>
                                  <w:marRight w:val="0"/>
                                  <w:marTop w:val="0"/>
                                  <w:marBottom w:val="0"/>
                                  <w:divBdr>
                                    <w:top w:val="none" w:sz="0" w:space="0" w:color="auto"/>
                                    <w:left w:val="none" w:sz="0" w:space="0" w:color="auto"/>
                                    <w:bottom w:val="none" w:sz="0" w:space="0" w:color="auto"/>
                                    <w:right w:val="none" w:sz="0" w:space="0" w:color="auto"/>
                                  </w:divBdr>
                                  <w:divsChild>
                                    <w:div w:id="220529867">
                                      <w:marLeft w:val="0"/>
                                      <w:marRight w:val="0"/>
                                      <w:marTop w:val="0"/>
                                      <w:marBottom w:val="0"/>
                                      <w:divBdr>
                                        <w:top w:val="none" w:sz="0" w:space="0" w:color="auto"/>
                                        <w:left w:val="none" w:sz="0" w:space="0" w:color="auto"/>
                                        <w:bottom w:val="none" w:sz="0" w:space="0" w:color="auto"/>
                                        <w:right w:val="none" w:sz="0" w:space="0" w:color="auto"/>
                                      </w:divBdr>
                                      <w:divsChild>
                                        <w:div w:id="1054500695">
                                          <w:marLeft w:val="0"/>
                                          <w:marRight w:val="0"/>
                                          <w:marTop w:val="0"/>
                                          <w:marBottom w:val="0"/>
                                          <w:divBdr>
                                            <w:top w:val="none" w:sz="0" w:space="0" w:color="auto"/>
                                            <w:left w:val="none" w:sz="0" w:space="0" w:color="auto"/>
                                            <w:bottom w:val="none" w:sz="0" w:space="0" w:color="auto"/>
                                            <w:right w:val="none" w:sz="0" w:space="0" w:color="auto"/>
                                          </w:divBdr>
                                        </w:div>
                                      </w:divsChild>
                                    </w:div>
                                    <w:div w:id="1006861080">
                                      <w:marLeft w:val="0"/>
                                      <w:marRight w:val="0"/>
                                      <w:marTop w:val="0"/>
                                      <w:marBottom w:val="0"/>
                                      <w:divBdr>
                                        <w:top w:val="none" w:sz="0" w:space="0" w:color="auto"/>
                                        <w:left w:val="none" w:sz="0" w:space="0" w:color="auto"/>
                                        <w:bottom w:val="none" w:sz="0" w:space="0" w:color="auto"/>
                                        <w:right w:val="none" w:sz="0" w:space="0" w:color="auto"/>
                                      </w:divBdr>
                                    </w:div>
                                    <w:div w:id="17700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548761">
      <w:bodyDiv w:val="1"/>
      <w:marLeft w:val="0"/>
      <w:marRight w:val="0"/>
      <w:marTop w:val="0"/>
      <w:marBottom w:val="0"/>
      <w:divBdr>
        <w:top w:val="none" w:sz="0" w:space="0" w:color="auto"/>
        <w:left w:val="none" w:sz="0" w:space="0" w:color="auto"/>
        <w:bottom w:val="none" w:sz="0" w:space="0" w:color="auto"/>
        <w:right w:val="none" w:sz="0" w:space="0" w:color="auto"/>
      </w:divBdr>
    </w:div>
    <w:div w:id="1218011016">
      <w:bodyDiv w:val="1"/>
      <w:marLeft w:val="0"/>
      <w:marRight w:val="0"/>
      <w:marTop w:val="0"/>
      <w:marBottom w:val="0"/>
      <w:divBdr>
        <w:top w:val="none" w:sz="0" w:space="0" w:color="auto"/>
        <w:left w:val="none" w:sz="0" w:space="0" w:color="auto"/>
        <w:bottom w:val="none" w:sz="0" w:space="0" w:color="auto"/>
        <w:right w:val="none" w:sz="0" w:space="0" w:color="auto"/>
      </w:divBdr>
      <w:divsChild>
        <w:div w:id="922766196">
          <w:marLeft w:val="0"/>
          <w:marRight w:val="0"/>
          <w:marTop w:val="0"/>
          <w:marBottom w:val="0"/>
          <w:divBdr>
            <w:top w:val="none" w:sz="0" w:space="0" w:color="auto"/>
            <w:left w:val="none" w:sz="0" w:space="0" w:color="auto"/>
            <w:bottom w:val="none" w:sz="0" w:space="0" w:color="auto"/>
            <w:right w:val="none" w:sz="0" w:space="0" w:color="auto"/>
          </w:divBdr>
        </w:div>
        <w:div w:id="1419906450">
          <w:marLeft w:val="0"/>
          <w:marRight w:val="0"/>
          <w:marTop w:val="0"/>
          <w:marBottom w:val="0"/>
          <w:divBdr>
            <w:top w:val="none" w:sz="0" w:space="0" w:color="auto"/>
            <w:left w:val="none" w:sz="0" w:space="0" w:color="auto"/>
            <w:bottom w:val="none" w:sz="0" w:space="0" w:color="auto"/>
            <w:right w:val="none" w:sz="0" w:space="0" w:color="auto"/>
          </w:divBdr>
        </w:div>
      </w:divsChild>
    </w:div>
    <w:div w:id="1280645833">
      <w:bodyDiv w:val="1"/>
      <w:marLeft w:val="0"/>
      <w:marRight w:val="0"/>
      <w:marTop w:val="0"/>
      <w:marBottom w:val="0"/>
      <w:divBdr>
        <w:top w:val="none" w:sz="0" w:space="0" w:color="auto"/>
        <w:left w:val="none" w:sz="0" w:space="0" w:color="auto"/>
        <w:bottom w:val="none" w:sz="0" w:space="0" w:color="auto"/>
        <w:right w:val="none" w:sz="0" w:space="0" w:color="auto"/>
      </w:divBdr>
      <w:divsChild>
        <w:div w:id="1304919468">
          <w:marLeft w:val="0"/>
          <w:marRight w:val="0"/>
          <w:marTop w:val="0"/>
          <w:marBottom w:val="0"/>
          <w:divBdr>
            <w:top w:val="none" w:sz="0" w:space="0" w:color="auto"/>
            <w:left w:val="none" w:sz="0" w:space="0" w:color="auto"/>
            <w:bottom w:val="none" w:sz="0" w:space="0" w:color="auto"/>
            <w:right w:val="none" w:sz="0" w:space="0" w:color="auto"/>
          </w:divBdr>
          <w:divsChild>
            <w:div w:id="1984579040">
              <w:marLeft w:val="0"/>
              <w:marRight w:val="0"/>
              <w:marTop w:val="0"/>
              <w:marBottom w:val="0"/>
              <w:divBdr>
                <w:top w:val="none" w:sz="0" w:space="0" w:color="auto"/>
                <w:left w:val="none" w:sz="0" w:space="0" w:color="auto"/>
                <w:bottom w:val="none" w:sz="0" w:space="0" w:color="auto"/>
                <w:right w:val="none" w:sz="0" w:space="0" w:color="auto"/>
              </w:divBdr>
              <w:divsChild>
                <w:div w:id="1859156820">
                  <w:marLeft w:val="0"/>
                  <w:marRight w:val="0"/>
                  <w:marTop w:val="0"/>
                  <w:marBottom w:val="0"/>
                  <w:divBdr>
                    <w:top w:val="none" w:sz="0" w:space="0" w:color="auto"/>
                    <w:left w:val="none" w:sz="0" w:space="0" w:color="auto"/>
                    <w:bottom w:val="none" w:sz="0" w:space="0" w:color="auto"/>
                    <w:right w:val="none" w:sz="0" w:space="0" w:color="auto"/>
                  </w:divBdr>
                  <w:divsChild>
                    <w:div w:id="143547351">
                      <w:marLeft w:val="0"/>
                      <w:marRight w:val="0"/>
                      <w:marTop w:val="0"/>
                      <w:marBottom w:val="0"/>
                      <w:divBdr>
                        <w:top w:val="none" w:sz="0" w:space="0" w:color="auto"/>
                        <w:left w:val="none" w:sz="0" w:space="0" w:color="auto"/>
                        <w:bottom w:val="none" w:sz="0" w:space="0" w:color="auto"/>
                        <w:right w:val="none" w:sz="0" w:space="0" w:color="auto"/>
                      </w:divBdr>
                      <w:divsChild>
                        <w:div w:id="1424033019">
                          <w:marLeft w:val="0"/>
                          <w:marRight w:val="0"/>
                          <w:marTop w:val="0"/>
                          <w:marBottom w:val="0"/>
                          <w:divBdr>
                            <w:top w:val="none" w:sz="0" w:space="0" w:color="auto"/>
                            <w:left w:val="none" w:sz="0" w:space="0" w:color="auto"/>
                            <w:bottom w:val="none" w:sz="0" w:space="0" w:color="auto"/>
                            <w:right w:val="none" w:sz="0" w:space="0" w:color="auto"/>
                          </w:divBdr>
                          <w:divsChild>
                            <w:div w:id="579605701">
                              <w:marLeft w:val="0"/>
                              <w:marRight w:val="0"/>
                              <w:marTop w:val="0"/>
                              <w:marBottom w:val="0"/>
                              <w:divBdr>
                                <w:top w:val="none" w:sz="0" w:space="0" w:color="auto"/>
                                <w:left w:val="none" w:sz="0" w:space="0" w:color="auto"/>
                                <w:bottom w:val="none" w:sz="0" w:space="0" w:color="auto"/>
                                <w:right w:val="none" w:sz="0" w:space="0" w:color="auto"/>
                              </w:divBdr>
                              <w:divsChild>
                                <w:div w:id="1998268777">
                                  <w:marLeft w:val="0"/>
                                  <w:marRight w:val="0"/>
                                  <w:marTop w:val="0"/>
                                  <w:marBottom w:val="0"/>
                                  <w:divBdr>
                                    <w:top w:val="none" w:sz="0" w:space="0" w:color="auto"/>
                                    <w:left w:val="none" w:sz="0" w:space="0" w:color="auto"/>
                                    <w:bottom w:val="none" w:sz="0" w:space="0" w:color="auto"/>
                                    <w:right w:val="none" w:sz="0" w:space="0" w:color="auto"/>
                                  </w:divBdr>
                                  <w:divsChild>
                                    <w:div w:id="9916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777407">
      <w:bodyDiv w:val="1"/>
      <w:marLeft w:val="0"/>
      <w:marRight w:val="0"/>
      <w:marTop w:val="0"/>
      <w:marBottom w:val="0"/>
      <w:divBdr>
        <w:top w:val="none" w:sz="0" w:space="0" w:color="auto"/>
        <w:left w:val="none" w:sz="0" w:space="0" w:color="auto"/>
        <w:bottom w:val="none" w:sz="0" w:space="0" w:color="auto"/>
        <w:right w:val="none" w:sz="0" w:space="0" w:color="auto"/>
      </w:divBdr>
    </w:div>
    <w:div w:id="1398628129">
      <w:bodyDiv w:val="1"/>
      <w:marLeft w:val="0"/>
      <w:marRight w:val="0"/>
      <w:marTop w:val="0"/>
      <w:marBottom w:val="0"/>
      <w:divBdr>
        <w:top w:val="none" w:sz="0" w:space="0" w:color="auto"/>
        <w:left w:val="none" w:sz="0" w:space="0" w:color="auto"/>
        <w:bottom w:val="none" w:sz="0" w:space="0" w:color="auto"/>
        <w:right w:val="none" w:sz="0" w:space="0" w:color="auto"/>
      </w:divBdr>
    </w:div>
    <w:div w:id="1439639185">
      <w:bodyDiv w:val="1"/>
      <w:marLeft w:val="0"/>
      <w:marRight w:val="0"/>
      <w:marTop w:val="0"/>
      <w:marBottom w:val="0"/>
      <w:divBdr>
        <w:top w:val="none" w:sz="0" w:space="0" w:color="auto"/>
        <w:left w:val="none" w:sz="0" w:space="0" w:color="auto"/>
        <w:bottom w:val="none" w:sz="0" w:space="0" w:color="auto"/>
        <w:right w:val="none" w:sz="0" w:space="0" w:color="auto"/>
      </w:divBdr>
    </w:div>
    <w:div w:id="1560703382">
      <w:bodyDiv w:val="1"/>
      <w:marLeft w:val="0"/>
      <w:marRight w:val="0"/>
      <w:marTop w:val="0"/>
      <w:marBottom w:val="0"/>
      <w:divBdr>
        <w:top w:val="none" w:sz="0" w:space="0" w:color="auto"/>
        <w:left w:val="none" w:sz="0" w:space="0" w:color="auto"/>
        <w:bottom w:val="none" w:sz="0" w:space="0" w:color="auto"/>
        <w:right w:val="none" w:sz="0" w:space="0" w:color="auto"/>
      </w:divBdr>
      <w:divsChild>
        <w:div w:id="1137451109">
          <w:marLeft w:val="0"/>
          <w:marRight w:val="0"/>
          <w:marTop w:val="0"/>
          <w:marBottom w:val="0"/>
          <w:divBdr>
            <w:top w:val="none" w:sz="0" w:space="0" w:color="auto"/>
            <w:left w:val="none" w:sz="0" w:space="0" w:color="auto"/>
            <w:bottom w:val="none" w:sz="0" w:space="0" w:color="auto"/>
            <w:right w:val="none" w:sz="0" w:space="0" w:color="auto"/>
          </w:divBdr>
          <w:divsChild>
            <w:div w:id="1293050271">
              <w:marLeft w:val="0"/>
              <w:marRight w:val="0"/>
              <w:marTop w:val="0"/>
              <w:marBottom w:val="0"/>
              <w:divBdr>
                <w:top w:val="none" w:sz="0" w:space="0" w:color="auto"/>
                <w:left w:val="none" w:sz="0" w:space="0" w:color="auto"/>
                <w:bottom w:val="none" w:sz="0" w:space="0" w:color="auto"/>
                <w:right w:val="none" w:sz="0" w:space="0" w:color="auto"/>
              </w:divBdr>
              <w:divsChild>
                <w:div w:id="492569055">
                  <w:marLeft w:val="0"/>
                  <w:marRight w:val="0"/>
                  <w:marTop w:val="0"/>
                  <w:marBottom w:val="0"/>
                  <w:divBdr>
                    <w:top w:val="none" w:sz="0" w:space="0" w:color="auto"/>
                    <w:left w:val="none" w:sz="0" w:space="0" w:color="auto"/>
                    <w:bottom w:val="none" w:sz="0" w:space="0" w:color="auto"/>
                    <w:right w:val="none" w:sz="0" w:space="0" w:color="auto"/>
                  </w:divBdr>
                  <w:divsChild>
                    <w:div w:id="71247221">
                      <w:marLeft w:val="0"/>
                      <w:marRight w:val="0"/>
                      <w:marTop w:val="0"/>
                      <w:marBottom w:val="0"/>
                      <w:divBdr>
                        <w:top w:val="none" w:sz="0" w:space="0" w:color="auto"/>
                        <w:left w:val="none" w:sz="0" w:space="0" w:color="auto"/>
                        <w:bottom w:val="none" w:sz="0" w:space="0" w:color="auto"/>
                        <w:right w:val="none" w:sz="0" w:space="0" w:color="auto"/>
                      </w:divBdr>
                      <w:divsChild>
                        <w:div w:id="1638338975">
                          <w:marLeft w:val="0"/>
                          <w:marRight w:val="0"/>
                          <w:marTop w:val="0"/>
                          <w:marBottom w:val="0"/>
                          <w:divBdr>
                            <w:top w:val="none" w:sz="0" w:space="0" w:color="auto"/>
                            <w:left w:val="none" w:sz="0" w:space="0" w:color="auto"/>
                            <w:bottom w:val="none" w:sz="0" w:space="0" w:color="auto"/>
                            <w:right w:val="none" w:sz="0" w:space="0" w:color="auto"/>
                          </w:divBdr>
                          <w:divsChild>
                            <w:div w:id="1763143170">
                              <w:marLeft w:val="0"/>
                              <w:marRight w:val="0"/>
                              <w:marTop w:val="0"/>
                              <w:marBottom w:val="0"/>
                              <w:divBdr>
                                <w:top w:val="none" w:sz="0" w:space="0" w:color="auto"/>
                                <w:left w:val="none" w:sz="0" w:space="0" w:color="auto"/>
                                <w:bottom w:val="none" w:sz="0" w:space="0" w:color="auto"/>
                                <w:right w:val="none" w:sz="0" w:space="0" w:color="auto"/>
                              </w:divBdr>
                              <w:divsChild>
                                <w:div w:id="1363630899">
                                  <w:marLeft w:val="0"/>
                                  <w:marRight w:val="0"/>
                                  <w:marTop w:val="0"/>
                                  <w:marBottom w:val="0"/>
                                  <w:divBdr>
                                    <w:top w:val="none" w:sz="0" w:space="0" w:color="auto"/>
                                    <w:left w:val="none" w:sz="0" w:space="0" w:color="auto"/>
                                    <w:bottom w:val="none" w:sz="0" w:space="0" w:color="auto"/>
                                    <w:right w:val="none" w:sz="0" w:space="0" w:color="auto"/>
                                  </w:divBdr>
                                  <w:divsChild>
                                    <w:div w:id="251552647">
                                      <w:marLeft w:val="0"/>
                                      <w:marRight w:val="0"/>
                                      <w:marTop w:val="0"/>
                                      <w:marBottom w:val="0"/>
                                      <w:divBdr>
                                        <w:top w:val="none" w:sz="0" w:space="0" w:color="auto"/>
                                        <w:left w:val="none" w:sz="0" w:space="0" w:color="auto"/>
                                        <w:bottom w:val="none" w:sz="0" w:space="0" w:color="auto"/>
                                        <w:right w:val="none" w:sz="0" w:space="0" w:color="auto"/>
                                      </w:divBdr>
                                      <w:divsChild>
                                        <w:div w:id="68692692">
                                          <w:marLeft w:val="0"/>
                                          <w:marRight w:val="0"/>
                                          <w:marTop w:val="0"/>
                                          <w:marBottom w:val="0"/>
                                          <w:divBdr>
                                            <w:top w:val="none" w:sz="0" w:space="0" w:color="auto"/>
                                            <w:left w:val="none" w:sz="0" w:space="0" w:color="auto"/>
                                            <w:bottom w:val="none" w:sz="0" w:space="0" w:color="auto"/>
                                            <w:right w:val="none" w:sz="0" w:space="0" w:color="auto"/>
                                          </w:divBdr>
                                        </w:div>
                                      </w:divsChild>
                                    </w:div>
                                    <w:div w:id="786852444">
                                      <w:marLeft w:val="0"/>
                                      <w:marRight w:val="0"/>
                                      <w:marTop w:val="0"/>
                                      <w:marBottom w:val="0"/>
                                      <w:divBdr>
                                        <w:top w:val="none" w:sz="0" w:space="0" w:color="auto"/>
                                        <w:left w:val="none" w:sz="0" w:space="0" w:color="auto"/>
                                        <w:bottom w:val="none" w:sz="0" w:space="0" w:color="auto"/>
                                        <w:right w:val="none" w:sz="0" w:space="0" w:color="auto"/>
                                      </w:divBdr>
                                    </w:div>
                                    <w:div w:id="8081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613730">
      <w:bodyDiv w:val="1"/>
      <w:marLeft w:val="0"/>
      <w:marRight w:val="0"/>
      <w:marTop w:val="0"/>
      <w:marBottom w:val="0"/>
      <w:divBdr>
        <w:top w:val="none" w:sz="0" w:space="0" w:color="auto"/>
        <w:left w:val="none" w:sz="0" w:space="0" w:color="auto"/>
        <w:bottom w:val="none" w:sz="0" w:space="0" w:color="auto"/>
        <w:right w:val="none" w:sz="0" w:space="0" w:color="auto"/>
      </w:divBdr>
    </w:div>
    <w:div w:id="1668366978">
      <w:bodyDiv w:val="1"/>
      <w:marLeft w:val="0"/>
      <w:marRight w:val="0"/>
      <w:marTop w:val="0"/>
      <w:marBottom w:val="0"/>
      <w:divBdr>
        <w:top w:val="none" w:sz="0" w:space="0" w:color="auto"/>
        <w:left w:val="none" w:sz="0" w:space="0" w:color="auto"/>
        <w:bottom w:val="none" w:sz="0" w:space="0" w:color="auto"/>
        <w:right w:val="none" w:sz="0" w:space="0" w:color="auto"/>
      </w:divBdr>
    </w:div>
    <w:div w:id="1707674243">
      <w:bodyDiv w:val="1"/>
      <w:marLeft w:val="0"/>
      <w:marRight w:val="0"/>
      <w:marTop w:val="0"/>
      <w:marBottom w:val="0"/>
      <w:divBdr>
        <w:top w:val="none" w:sz="0" w:space="0" w:color="auto"/>
        <w:left w:val="none" w:sz="0" w:space="0" w:color="auto"/>
        <w:bottom w:val="none" w:sz="0" w:space="0" w:color="auto"/>
        <w:right w:val="none" w:sz="0" w:space="0" w:color="auto"/>
      </w:divBdr>
    </w:div>
    <w:div w:id="1822623276">
      <w:bodyDiv w:val="1"/>
      <w:marLeft w:val="0"/>
      <w:marRight w:val="0"/>
      <w:marTop w:val="0"/>
      <w:marBottom w:val="0"/>
      <w:divBdr>
        <w:top w:val="none" w:sz="0" w:space="0" w:color="auto"/>
        <w:left w:val="none" w:sz="0" w:space="0" w:color="auto"/>
        <w:bottom w:val="none" w:sz="0" w:space="0" w:color="auto"/>
        <w:right w:val="none" w:sz="0" w:space="0" w:color="auto"/>
      </w:divBdr>
    </w:div>
    <w:div w:id="1899317418">
      <w:bodyDiv w:val="1"/>
      <w:marLeft w:val="0"/>
      <w:marRight w:val="0"/>
      <w:marTop w:val="0"/>
      <w:marBottom w:val="0"/>
      <w:divBdr>
        <w:top w:val="none" w:sz="0" w:space="0" w:color="auto"/>
        <w:left w:val="none" w:sz="0" w:space="0" w:color="auto"/>
        <w:bottom w:val="none" w:sz="0" w:space="0" w:color="auto"/>
        <w:right w:val="none" w:sz="0" w:space="0" w:color="auto"/>
      </w:divBdr>
    </w:div>
    <w:div w:id="1902250052">
      <w:marLeft w:val="0"/>
      <w:marRight w:val="0"/>
      <w:marTop w:val="0"/>
      <w:marBottom w:val="0"/>
      <w:divBdr>
        <w:top w:val="none" w:sz="0" w:space="0" w:color="auto"/>
        <w:left w:val="none" w:sz="0" w:space="0" w:color="auto"/>
        <w:bottom w:val="none" w:sz="0" w:space="0" w:color="auto"/>
        <w:right w:val="none" w:sz="0" w:space="0" w:color="auto"/>
      </w:divBdr>
    </w:div>
    <w:div w:id="1902250053">
      <w:marLeft w:val="0"/>
      <w:marRight w:val="0"/>
      <w:marTop w:val="0"/>
      <w:marBottom w:val="0"/>
      <w:divBdr>
        <w:top w:val="none" w:sz="0" w:space="0" w:color="auto"/>
        <w:left w:val="none" w:sz="0" w:space="0" w:color="auto"/>
        <w:bottom w:val="none" w:sz="0" w:space="0" w:color="auto"/>
        <w:right w:val="none" w:sz="0" w:space="0" w:color="auto"/>
      </w:divBdr>
    </w:div>
    <w:div w:id="1902250054">
      <w:marLeft w:val="0"/>
      <w:marRight w:val="0"/>
      <w:marTop w:val="0"/>
      <w:marBottom w:val="0"/>
      <w:divBdr>
        <w:top w:val="none" w:sz="0" w:space="0" w:color="auto"/>
        <w:left w:val="none" w:sz="0" w:space="0" w:color="auto"/>
        <w:bottom w:val="none" w:sz="0" w:space="0" w:color="auto"/>
        <w:right w:val="none" w:sz="0" w:space="0" w:color="auto"/>
      </w:divBdr>
    </w:div>
    <w:div w:id="1902250055">
      <w:marLeft w:val="0"/>
      <w:marRight w:val="0"/>
      <w:marTop w:val="0"/>
      <w:marBottom w:val="0"/>
      <w:divBdr>
        <w:top w:val="none" w:sz="0" w:space="0" w:color="auto"/>
        <w:left w:val="none" w:sz="0" w:space="0" w:color="auto"/>
        <w:bottom w:val="none" w:sz="0" w:space="0" w:color="auto"/>
        <w:right w:val="none" w:sz="0" w:space="0" w:color="auto"/>
      </w:divBdr>
    </w:div>
    <w:div w:id="1902250056">
      <w:marLeft w:val="0"/>
      <w:marRight w:val="0"/>
      <w:marTop w:val="0"/>
      <w:marBottom w:val="0"/>
      <w:divBdr>
        <w:top w:val="none" w:sz="0" w:space="0" w:color="auto"/>
        <w:left w:val="none" w:sz="0" w:space="0" w:color="auto"/>
        <w:bottom w:val="none" w:sz="0" w:space="0" w:color="auto"/>
        <w:right w:val="none" w:sz="0" w:space="0" w:color="auto"/>
      </w:divBdr>
    </w:div>
    <w:div w:id="1902250057">
      <w:marLeft w:val="0"/>
      <w:marRight w:val="0"/>
      <w:marTop w:val="0"/>
      <w:marBottom w:val="0"/>
      <w:divBdr>
        <w:top w:val="none" w:sz="0" w:space="0" w:color="auto"/>
        <w:left w:val="none" w:sz="0" w:space="0" w:color="auto"/>
        <w:bottom w:val="none" w:sz="0" w:space="0" w:color="auto"/>
        <w:right w:val="none" w:sz="0" w:space="0" w:color="auto"/>
      </w:divBdr>
    </w:div>
    <w:div w:id="1902250058">
      <w:marLeft w:val="0"/>
      <w:marRight w:val="0"/>
      <w:marTop w:val="0"/>
      <w:marBottom w:val="0"/>
      <w:divBdr>
        <w:top w:val="none" w:sz="0" w:space="0" w:color="auto"/>
        <w:left w:val="none" w:sz="0" w:space="0" w:color="auto"/>
        <w:bottom w:val="none" w:sz="0" w:space="0" w:color="auto"/>
        <w:right w:val="none" w:sz="0" w:space="0" w:color="auto"/>
      </w:divBdr>
    </w:div>
    <w:div w:id="1902250059">
      <w:marLeft w:val="0"/>
      <w:marRight w:val="0"/>
      <w:marTop w:val="0"/>
      <w:marBottom w:val="0"/>
      <w:divBdr>
        <w:top w:val="none" w:sz="0" w:space="0" w:color="auto"/>
        <w:left w:val="none" w:sz="0" w:space="0" w:color="auto"/>
        <w:bottom w:val="none" w:sz="0" w:space="0" w:color="auto"/>
        <w:right w:val="none" w:sz="0" w:space="0" w:color="auto"/>
      </w:divBdr>
    </w:div>
    <w:div w:id="1902250060">
      <w:marLeft w:val="0"/>
      <w:marRight w:val="0"/>
      <w:marTop w:val="0"/>
      <w:marBottom w:val="0"/>
      <w:divBdr>
        <w:top w:val="none" w:sz="0" w:space="0" w:color="auto"/>
        <w:left w:val="none" w:sz="0" w:space="0" w:color="auto"/>
        <w:bottom w:val="none" w:sz="0" w:space="0" w:color="auto"/>
        <w:right w:val="none" w:sz="0" w:space="0" w:color="auto"/>
      </w:divBdr>
    </w:div>
    <w:div w:id="1902250061">
      <w:marLeft w:val="0"/>
      <w:marRight w:val="0"/>
      <w:marTop w:val="0"/>
      <w:marBottom w:val="0"/>
      <w:divBdr>
        <w:top w:val="none" w:sz="0" w:space="0" w:color="auto"/>
        <w:left w:val="none" w:sz="0" w:space="0" w:color="auto"/>
        <w:bottom w:val="none" w:sz="0" w:space="0" w:color="auto"/>
        <w:right w:val="none" w:sz="0" w:space="0" w:color="auto"/>
      </w:divBdr>
    </w:div>
    <w:div w:id="1902250062">
      <w:marLeft w:val="0"/>
      <w:marRight w:val="0"/>
      <w:marTop w:val="0"/>
      <w:marBottom w:val="0"/>
      <w:divBdr>
        <w:top w:val="none" w:sz="0" w:space="0" w:color="auto"/>
        <w:left w:val="none" w:sz="0" w:space="0" w:color="auto"/>
        <w:bottom w:val="none" w:sz="0" w:space="0" w:color="auto"/>
        <w:right w:val="none" w:sz="0" w:space="0" w:color="auto"/>
      </w:divBdr>
    </w:div>
    <w:div w:id="1902250063">
      <w:marLeft w:val="0"/>
      <w:marRight w:val="0"/>
      <w:marTop w:val="0"/>
      <w:marBottom w:val="0"/>
      <w:divBdr>
        <w:top w:val="none" w:sz="0" w:space="0" w:color="auto"/>
        <w:left w:val="none" w:sz="0" w:space="0" w:color="auto"/>
        <w:bottom w:val="none" w:sz="0" w:space="0" w:color="auto"/>
        <w:right w:val="none" w:sz="0" w:space="0" w:color="auto"/>
      </w:divBdr>
    </w:div>
    <w:div w:id="1902250064">
      <w:marLeft w:val="0"/>
      <w:marRight w:val="0"/>
      <w:marTop w:val="0"/>
      <w:marBottom w:val="0"/>
      <w:divBdr>
        <w:top w:val="none" w:sz="0" w:space="0" w:color="auto"/>
        <w:left w:val="none" w:sz="0" w:space="0" w:color="auto"/>
        <w:bottom w:val="none" w:sz="0" w:space="0" w:color="auto"/>
        <w:right w:val="none" w:sz="0" w:space="0" w:color="auto"/>
      </w:divBdr>
    </w:div>
    <w:div w:id="1902250065">
      <w:marLeft w:val="0"/>
      <w:marRight w:val="0"/>
      <w:marTop w:val="0"/>
      <w:marBottom w:val="0"/>
      <w:divBdr>
        <w:top w:val="none" w:sz="0" w:space="0" w:color="auto"/>
        <w:left w:val="none" w:sz="0" w:space="0" w:color="auto"/>
        <w:bottom w:val="none" w:sz="0" w:space="0" w:color="auto"/>
        <w:right w:val="none" w:sz="0" w:space="0" w:color="auto"/>
      </w:divBdr>
    </w:div>
    <w:div w:id="1902250066">
      <w:marLeft w:val="0"/>
      <w:marRight w:val="0"/>
      <w:marTop w:val="0"/>
      <w:marBottom w:val="0"/>
      <w:divBdr>
        <w:top w:val="none" w:sz="0" w:space="0" w:color="auto"/>
        <w:left w:val="none" w:sz="0" w:space="0" w:color="auto"/>
        <w:bottom w:val="none" w:sz="0" w:space="0" w:color="auto"/>
        <w:right w:val="none" w:sz="0" w:space="0" w:color="auto"/>
      </w:divBdr>
    </w:div>
    <w:div w:id="1902250067">
      <w:marLeft w:val="0"/>
      <w:marRight w:val="0"/>
      <w:marTop w:val="0"/>
      <w:marBottom w:val="0"/>
      <w:divBdr>
        <w:top w:val="none" w:sz="0" w:space="0" w:color="auto"/>
        <w:left w:val="none" w:sz="0" w:space="0" w:color="auto"/>
        <w:bottom w:val="none" w:sz="0" w:space="0" w:color="auto"/>
        <w:right w:val="none" w:sz="0" w:space="0" w:color="auto"/>
      </w:divBdr>
    </w:div>
    <w:div w:id="1902250068">
      <w:marLeft w:val="0"/>
      <w:marRight w:val="0"/>
      <w:marTop w:val="0"/>
      <w:marBottom w:val="0"/>
      <w:divBdr>
        <w:top w:val="none" w:sz="0" w:space="0" w:color="auto"/>
        <w:left w:val="none" w:sz="0" w:space="0" w:color="auto"/>
        <w:bottom w:val="none" w:sz="0" w:space="0" w:color="auto"/>
        <w:right w:val="none" w:sz="0" w:space="0" w:color="auto"/>
      </w:divBdr>
    </w:div>
    <w:div w:id="1902250069">
      <w:marLeft w:val="0"/>
      <w:marRight w:val="0"/>
      <w:marTop w:val="0"/>
      <w:marBottom w:val="0"/>
      <w:divBdr>
        <w:top w:val="none" w:sz="0" w:space="0" w:color="auto"/>
        <w:left w:val="none" w:sz="0" w:space="0" w:color="auto"/>
        <w:bottom w:val="none" w:sz="0" w:space="0" w:color="auto"/>
        <w:right w:val="none" w:sz="0" w:space="0" w:color="auto"/>
      </w:divBdr>
    </w:div>
    <w:div w:id="1902250070">
      <w:marLeft w:val="0"/>
      <w:marRight w:val="0"/>
      <w:marTop w:val="0"/>
      <w:marBottom w:val="0"/>
      <w:divBdr>
        <w:top w:val="none" w:sz="0" w:space="0" w:color="auto"/>
        <w:left w:val="none" w:sz="0" w:space="0" w:color="auto"/>
        <w:bottom w:val="none" w:sz="0" w:space="0" w:color="auto"/>
        <w:right w:val="none" w:sz="0" w:space="0" w:color="auto"/>
      </w:divBdr>
    </w:div>
    <w:div w:id="1902250071">
      <w:marLeft w:val="0"/>
      <w:marRight w:val="0"/>
      <w:marTop w:val="0"/>
      <w:marBottom w:val="0"/>
      <w:divBdr>
        <w:top w:val="none" w:sz="0" w:space="0" w:color="auto"/>
        <w:left w:val="none" w:sz="0" w:space="0" w:color="auto"/>
        <w:bottom w:val="none" w:sz="0" w:space="0" w:color="auto"/>
        <w:right w:val="none" w:sz="0" w:space="0" w:color="auto"/>
      </w:divBdr>
    </w:div>
    <w:div w:id="1902250072">
      <w:marLeft w:val="0"/>
      <w:marRight w:val="0"/>
      <w:marTop w:val="0"/>
      <w:marBottom w:val="0"/>
      <w:divBdr>
        <w:top w:val="none" w:sz="0" w:space="0" w:color="auto"/>
        <w:left w:val="none" w:sz="0" w:space="0" w:color="auto"/>
        <w:bottom w:val="none" w:sz="0" w:space="0" w:color="auto"/>
        <w:right w:val="none" w:sz="0" w:space="0" w:color="auto"/>
      </w:divBdr>
    </w:div>
    <w:div w:id="1902250073">
      <w:marLeft w:val="0"/>
      <w:marRight w:val="0"/>
      <w:marTop w:val="0"/>
      <w:marBottom w:val="0"/>
      <w:divBdr>
        <w:top w:val="none" w:sz="0" w:space="0" w:color="auto"/>
        <w:left w:val="none" w:sz="0" w:space="0" w:color="auto"/>
        <w:bottom w:val="none" w:sz="0" w:space="0" w:color="auto"/>
        <w:right w:val="none" w:sz="0" w:space="0" w:color="auto"/>
      </w:divBdr>
    </w:div>
    <w:div w:id="1902250074">
      <w:marLeft w:val="0"/>
      <w:marRight w:val="0"/>
      <w:marTop w:val="0"/>
      <w:marBottom w:val="0"/>
      <w:divBdr>
        <w:top w:val="none" w:sz="0" w:space="0" w:color="auto"/>
        <w:left w:val="none" w:sz="0" w:space="0" w:color="auto"/>
        <w:bottom w:val="none" w:sz="0" w:space="0" w:color="auto"/>
        <w:right w:val="none" w:sz="0" w:space="0" w:color="auto"/>
      </w:divBdr>
    </w:div>
    <w:div w:id="1902250075">
      <w:marLeft w:val="0"/>
      <w:marRight w:val="0"/>
      <w:marTop w:val="0"/>
      <w:marBottom w:val="0"/>
      <w:divBdr>
        <w:top w:val="none" w:sz="0" w:space="0" w:color="auto"/>
        <w:left w:val="none" w:sz="0" w:space="0" w:color="auto"/>
        <w:bottom w:val="none" w:sz="0" w:space="0" w:color="auto"/>
        <w:right w:val="none" w:sz="0" w:space="0" w:color="auto"/>
      </w:divBdr>
    </w:div>
    <w:div w:id="1902250076">
      <w:marLeft w:val="0"/>
      <w:marRight w:val="0"/>
      <w:marTop w:val="0"/>
      <w:marBottom w:val="0"/>
      <w:divBdr>
        <w:top w:val="none" w:sz="0" w:space="0" w:color="auto"/>
        <w:left w:val="none" w:sz="0" w:space="0" w:color="auto"/>
        <w:bottom w:val="none" w:sz="0" w:space="0" w:color="auto"/>
        <w:right w:val="none" w:sz="0" w:space="0" w:color="auto"/>
      </w:divBdr>
    </w:div>
    <w:div w:id="1902250077">
      <w:marLeft w:val="0"/>
      <w:marRight w:val="0"/>
      <w:marTop w:val="0"/>
      <w:marBottom w:val="0"/>
      <w:divBdr>
        <w:top w:val="none" w:sz="0" w:space="0" w:color="auto"/>
        <w:left w:val="none" w:sz="0" w:space="0" w:color="auto"/>
        <w:bottom w:val="none" w:sz="0" w:space="0" w:color="auto"/>
        <w:right w:val="none" w:sz="0" w:space="0" w:color="auto"/>
      </w:divBdr>
    </w:div>
    <w:div w:id="1902250078">
      <w:marLeft w:val="0"/>
      <w:marRight w:val="0"/>
      <w:marTop w:val="0"/>
      <w:marBottom w:val="0"/>
      <w:divBdr>
        <w:top w:val="none" w:sz="0" w:space="0" w:color="auto"/>
        <w:left w:val="none" w:sz="0" w:space="0" w:color="auto"/>
        <w:bottom w:val="none" w:sz="0" w:space="0" w:color="auto"/>
        <w:right w:val="none" w:sz="0" w:space="0" w:color="auto"/>
      </w:divBdr>
    </w:div>
    <w:div w:id="1902250079">
      <w:marLeft w:val="0"/>
      <w:marRight w:val="0"/>
      <w:marTop w:val="0"/>
      <w:marBottom w:val="0"/>
      <w:divBdr>
        <w:top w:val="none" w:sz="0" w:space="0" w:color="auto"/>
        <w:left w:val="none" w:sz="0" w:space="0" w:color="auto"/>
        <w:bottom w:val="none" w:sz="0" w:space="0" w:color="auto"/>
        <w:right w:val="none" w:sz="0" w:space="0" w:color="auto"/>
      </w:divBdr>
    </w:div>
    <w:div w:id="1902250080">
      <w:marLeft w:val="0"/>
      <w:marRight w:val="0"/>
      <w:marTop w:val="0"/>
      <w:marBottom w:val="0"/>
      <w:divBdr>
        <w:top w:val="none" w:sz="0" w:space="0" w:color="auto"/>
        <w:left w:val="none" w:sz="0" w:space="0" w:color="auto"/>
        <w:bottom w:val="none" w:sz="0" w:space="0" w:color="auto"/>
        <w:right w:val="none" w:sz="0" w:space="0" w:color="auto"/>
      </w:divBdr>
    </w:div>
    <w:div w:id="1902250081">
      <w:marLeft w:val="0"/>
      <w:marRight w:val="0"/>
      <w:marTop w:val="0"/>
      <w:marBottom w:val="0"/>
      <w:divBdr>
        <w:top w:val="none" w:sz="0" w:space="0" w:color="auto"/>
        <w:left w:val="none" w:sz="0" w:space="0" w:color="auto"/>
        <w:bottom w:val="none" w:sz="0" w:space="0" w:color="auto"/>
        <w:right w:val="none" w:sz="0" w:space="0" w:color="auto"/>
      </w:divBdr>
    </w:div>
    <w:div w:id="1902250082">
      <w:marLeft w:val="0"/>
      <w:marRight w:val="0"/>
      <w:marTop w:val="0"/>
      <w:marBottom w:val="0"/>
      <w:divBdr>
        <w:top w:val="none" w:sz="0" w:space="0" w:color="auto"/>
        <w:left w:val="none" w:sz="0" w:space="0" w:color="auto"/>
        <w:bottom w:val="none" w:sz="0" w:space="0" w:color="auto"/>
        <w:right w:val="none" w:sz="0" w:space="0" w:color="auto"/>
      </w:divBdr>
    </w:div>
    <w:div w:id="1902250083">
      <w:marLeft w:val="0"/>
      <w:marRight w:val="0"/>
      <w:marTop w:val="0"/>
      <w:marBottom w:val="0"/>
      <w:divBdr>
        <w:top w:val="none" w:sz="0" w:space="0" w:color="auto"/>
        <w:left w:val="none" w:sz="0" w:space="0" w:color="auto"/>
        <w:bottom w:val="none" w:sz="0" w:space="0" w:color="auto"/>
        <w:right w:val="none" w:sz="0" w:space="0" w:color="auto"/>
      </w:divBdr>
    </w:div>
    <w:div w:id="1902250084">
      <w:marLeft w:val="0"/>
      <w:marRight w:val="0"/>
      <w:marTop w:val="0"/>
      <w:marBottom w:val="0"/>
      <w:divBdr>
        <w:top w:val="none" w:sz="0" w:space="0" w:color="auto"/>
        <w:left w:val="none" w:sz="0" w:space="0" w:color="auto"/>
        <w:bottom w:val="none" w:sz="0" w:space="0" w:color="auto"/>
        <w:right w:val="none" w:sz="0" w:space="0" w:color="auto"/>
      </w:divBdr>
    </w:div>
    <w:div w:id="1902250085">
      <w:marLeft w:val="0"/>
      <w:marRight w:val="0"/>
      <w:marTop w:val="0"/>
      <w:marBottom w:val="0"/>
      <w:divBdr>
        <w:top w:val="none" w:sz="0" w:space="0" w:color="auto"/>
        <w:left w:val="none" w:sz="0" w:space="0" w:color="auto"/>
        <w:bottom w:val="none" w:sz="0" w:space="0" w:color="auto"/>
        <w:right w:val="none" w:sz="0" w:space="0" w:color="auto"/>
      </w:divBdr>
    </w:div>
    <w:div w:id="1902250086">
      <w:marLeft w:val="0"/>
      <w:marRight w:val="0"/>
      <w:marTop w:val="0"/>
      <w:marBottom w:val="0"/>
      <w:divBdr>
        <w:top w:val="none" w:sz="0" w:space="0" w:color="auto"/>
        <w:left w:val="none" w:sz="0" w:space="0" w:color="auto"/>
        <w:bottom w:val="none" w:sz="0" w:space="0" w:color="auto"/>
        <w:right w:val="none" w:sz="0" w:space="0" w:color="auto"/>
      </w:divBdr>
    </w:div>
    <w:div w:id="1902250087">
      <w:marLeft w:val="0"/>
      <w:marRight w:val="0"/>
      <w:marTop w:val="0"/>
      <w:marBottom w:val="0"/>
      <w:divBdr>
        <w:top w:val="none" w:sz="0" w:space="0" w:color="auto"/>
        <w:left w:val="none" w:sz="0" w:space="0" w:color="auto"/>
        <w:bottom w:val="none" w:sz="0" w:space="0" w:color="auto"/>
        <w:right w:val="none" w:sz="0" w:space="0" w:color="auto"/>
      </w:divBdr>
    </w:div>
    <w:div w:id="1902250088">
      <w:marLeft w:val="0"/>
      <w:marRight w:val="0"/>
      <w:marTop w:val="0"/>
      <w:marBottom w:val="0"/>
      <w:divBdr>
        <w:top w:val="none" w:sz="0" w:space="0" w:color="auto"/>
        <w:left w:val="none" w:sz="0" w:space="0" w:color="auto"/>
        <w:bottom w:val="none" w:sz="0" w:space="0" w:color="auto"/>
        <w:right w:val="none" w:sz="0" w:space="0" w:color="auto"/>
      </w:divBdr>
    </w:div>
    <w:div w:id="1902250089">
      <w:marLeft w:val="0"/>
      <w:marRight w:val="0"/>
      <w:marTop w:val="0"/>
      <w:marBottom w:val="0"/>
      <w:divBdr>
        <w:top w:val="none" w:sz="0" w:space="0" w:color="auto"/>
        <w:left w:val="none" w:sz="0" w:space="0" w:color="auto"/>
        <w:bottom w:val="none" w:sz="0" w:space="0" w:color="auto"/>
        <w:right w:val="none" w:sz="0" w:space="0" w:color="auto"/>
      </w:divBdr>
    </w:div>
    <w:div w:id="1902250090">
      <w:marLeft w:val="0"/>
      <w:marRight w:val="0"/>
      <w:marTop w:val="0"/>
      <w:marBottom w:val="0"/>
      <w:divBdr>
        <w:top w:val="none" w:sz="0" w:space="0" w:color="auto"/>
        <w:left w:val="none" w:sz="0" w:space="0" w:color="auto"/>
        <w:bottom w:val="none" w:sz="0" w:space="0" w:color="auto"/>
        <w:right w:val="none" w:sz="0" w:space="0" w:color="auto"/>
      </w:divBdr>
    </w:div>
    <w:div w:id="1902250091">
      <w:marLeft w:val="0"/>
      <w:marRight w:val="0"/>
      <w:marTop w:val="0"/>
      <w:marBottom w:val="0"/>
      <w:divBdr>
        <w:top w:val="none" w:sz="0" w:space="0" w:color="auto"/>
        <w:left w:val="none" w:sz="0" w:space="0" w:color="auto"/>
        <w:bottom w:val="none" w:sz="0" w:space="0" w:color="auto"/>
        <w:right w:val="none" w:sz="0" w:space="0" w:color="auto"/>
      </w:divBdr>
    </w:div>
    <w:div w:id="1902250092">
      <w:marLeft w:val="0"/>
      <w:marRight w:val="0"/>
      <w:marTop w:val="0"/>
      <w:marBottom w:val="0"/>
      <w:divBdr>
        <w:top w:val="none" w:sz="0" w:space="0" w:color="auto"/>
        <w:left w:val="none" w:sz="0" w:space="0" w:color="auto"/>
        <w:bottom w:val="none" w:sz="0" w:space="0" w:color="auto"/>
        <w:right w:val="none" w:sz="0" w:space="0" w:color="auto"/>
      </w:divBdr>
    </w:div>
    <w:div w:id="1902250093">
      <w:marLeft w:val="0"/>
      <w:marRight w:val="0"/>
      <w:marTop w:val="0"/>
      <w:marBottom w:val="0"/>
      <w:divBdr>
        <w:top w:val="none" w:sz="0" w:space="0" w:color="auto"/>
        <w:left w:val="none" w:sz="0" w:space="0" w:color="auto"/>
        <w:bottom w:val="none" w:sz="0" w:space="0" w:color="auto"/>
        <w:right w:val="none" w:sz="0" w:space="0" w:color="auto"/>
      </w:divBdr>
    </w:div>
    <w:div w:id="1902250094">
      <w:marLeft w:val="0"/>
      <w:marRight w:val="0"/>
      <w:marTop w:val="0"/>
      <w:marBottom w:val="0"/>
      <w:divBdr>
        <w:top w:val="none" w:sz="0" w:space="0" w:color="auto"/>
        <w:left w:val="none" w:sz="0" w:space="0" w:color="auto"/>
        <w:bottom w:val="none" w:sz="0" w:space="0" w:color="auto"/>
        <w:right w:val="none" w:sz="0" w:space="0" w:color="auto"/>
      </w:divBdr>
    </w:div>
    <w:div w:id="1902250095">
      <w:marLeft w:val="0"/>
      <w:marRight w:val="0"/>
      <w:marTop w:val="0"/>
      <w:marBottom w:val="0"/>
      <w:divBdr>
        <w:top w:val="none" w:sz="0" w:space="0" w:color="auto"/>
        <w:left w:val="none" w:sz="0" w:space="0" w:color="auto"/>
        <w:bottom w:val="none" w:sz="0" w:space="0" w:color="auto"/>
        <w:right w:val="none" w:sz="0" w:space="0" w:color="auto"/>
      </w:divBdr>
    </w:div>
    <w:div w:id="1902250096">
      <w:marLeft w:val="0"/>
      <w:marRight w:val="0"/>
      <w:marTop w:val="0"/>
      <w:marBottom w:val="0"/>
      <w:divBdr>
        <w:top w:val="none" w:sz="0" w:space="0" w:color="auto"/>
        <w:left w:val="none" w:sz="0" w:space="0" w:color="auto"/>
        <w:bottom w:val="none" w:sz="0" w:space="0" w:color="auto"/>
        <w:right w:val="none" w:sz="0" w:space="0" w:color="auto"/>
      </w:divBdr>
    </w:div>
    <w:div w:id="1902250097">
      <w:marLeft w:val="0"/>
      <w:marRight w:val="0"/>
      <w:marTop w:val="0"/>
      <w:marBottom w:val="0"/>
      <w:divBdr>
        <w:top w:val="none" w:sz="0" w:space="0" w:color="auto"/>
        <w:left w:val="none" w:sz="0" w:space="0" w:color="auto"/>
        <w:bottom w:val="none" w:sz="0" w:space="0" w:color="auto"/>
        <w:right w:val="none" w:sz="0" w:space="0" w:color="auto"/>
      </w:divBdr>
    </w:div>
    <w:div w:id="1902250098">
      <w:marLeft w:val="0"/>
      <w:marRight w:val="0"/>
      <w:marTop w:val="0"/>
      <w:marBottom w:val="0"/>
      <w:divBdr>
        <w:top w:val="none" w:sz="0" w:space="0" w:color="auto"/>
        <w:left w:val="none" w:sz="0" w:space="0" w:color="auto"/>
        <w:bottom w:val="none" w:sz="0" w:space="0" w:color="auto"/>
        <w:right w:val="none" w:sz="0" w:space="0" w:color="auto"/>
      </w:divBdr>
    </w:div>
    <w:div w:id="1902250099">
      <w:marLeft w:val="0"/>
      <w:marRight w:val="0"/>
      <w:marTop w:val="0"/>
      <w:marBottom w:val="0"/>
      <w:divBdr>
        <w:top w:val="none" w:sz="0" w:space="0" w:color="auto"/>
        <w:left w:val="none" w:sz="0" w:space="0" w:color="auto"/>
        <w:bottom w:val="none" w:sz="0" w:space="0" w:color="auto"/>
        <w:right w:val="none" w:sz="0" w:space="0" w:color="auto"/>
      </w:divBdr>
    </w:div>
    <w:div w:id="1902250100">
      <w:marLeft w:val="0"/>
      <w:marRight w:val="0"/>
      <w:marTop w:val="0"/>
      <w:marBottom w:val="0"/>
      <w:divBdr>
        <w:top w:val="none" w:sz="0" w:space="0" w:color="auto"/>
        <w:left w:val="none" w:sz="0" w:space="0" w:color="auto"/>
        <w:bottom w:val="none" w:sz="0" w:space="0" w:color="auto"/>
        <w:right w:val="none" w:sz="0" w:space="0" w:color="auto"/>
      </w:divBdr>
    </w:div>
    <w:div w:id="1902250101">
      <w:marLeft w:val="0"/>
      <w:marRight w:val="0"/>
      <w:marTop w:val="0"/>
      <w:marBottom w:val="0"/>
      <w:divBdr>
        <w:top w:val="none" w:sz="0" w:space="0" w:color="auto"/>
        <w:left w:val="none" w:sz="0" w:space="0" w:color="auto"/>
        <w:bottom w:val="none" w:sz="0" w:space="0" w:color="auto"/>
        <w:right w:val="none" w:sz="0" w:space="0" w:color="auto"/>
      </w:divBdr>
    </w:div>
    <w:div w:id="1902250102">
      <w:marLeft w:val="0"/>
      <w:marRight w:val="0"/>
      <w:marTop w:val="0"/>
      <w:marBottom w:val="0"/>
      <w:divBdr>
        <w:top w:val="none" w:sz="0" w:space="0" w:color="auto"/>
        <w:left w:val="none" w:sz="0" w:space="0" w:color="auto"/>
        <w:bottom w:val="none" w:sz="0" w:space="0" w:color="auto"/>
        <w:right w:val="none" w:sz="0" w:space="0" w:color="auto"/>
      </w:divBdr>
    </w:div>
    <w:div w:id="1902250103">
      <w:marLeft w:val="0"/>
      <w:marRight w:val="0"/>
      <w:marTop w:val="0"/>
      <w:marBottom w:val="0"/>
      <w:divBdr>
        <w:top w:val="none" w:sz="0" w:space="0" w:color="auto"/>
        <w:left w:val="none" w:sz="0" w:space="0" w:color="auto"/>
        <w:bottom w:val="none" w:sz="0" w:space="0" w:color="auto"/>
        <w:right w:val="none" w:sz="0" w:space="0" w:color="auto"/>
      </w:divBdr>
    </w:div>
    <w:div w:id="1902250104">
      <w:marLeft w:val="0"/>
      <w:marRight w:val="0"/>
      <w:marTop w:val="0"/>
      <w:marBottom w:val="0"/>
      <w:divBdr>
        <w:top w:val="none" w:sz="0" w:space="0" w:color="auto"/>
        <w:left w:val="none" w:sz="0" w:space="0" w:color="auto"/>
        <w:bottom w:val="none" w:sz="0" w:space="0" w:color="auto"/>
        <w:right w:val="none" w:sz="0" w:space="0" w:color="auto"/>
      </w:divBdr>
    </w:div>
    <w:div w:id="1902250105">
      <w:marLeft w:val="0"/>
      <w:marRight w:val="0"/>
      <w:marTop w:val="0"/>
      <w:marBottom w:val="0"/>
      <w:divBdr>
        <w:top w:val="none" w:sz="0" w:space="0" w:color="auto"/>
        <w:left w:val="none" w:sz="0" w:space="0" w:color="auto"/>
        <w:bottom w:val="none" w:sz="0" w:space="0" w:color="auto"/>
        <w:right w:val="none" w:sz="0" w:space="0" w:color="auto"/>
      </w:divBdr>
    </w:div>
    <w:div w:id="1902250106">
      <w:marLeft w:val="0"/>
      <w:marRight w:val="0"/>
      <w:marTop w:val="0"/>
      <w:marBottom w:val="0"/>
      <w:divBdr>
        <w:top w:val="none" w:sz="0" w:space="0" w:color="auto"/>
        <w:left w:val="none" w:sz="0" w:space="0" w:color="auto"/>
        <w:bottom w:val="none" w:sz="0" w:space="0" w:color="auto"/>
        <w:right w:val="none" w:sz="0" w:space="0" w:color="auto"/>
      </w:divBdr>
    </w:div>
    <w:div w:id="1902250107">
      <w:marLeft w:val="0"/>
      <w:marRight w:val="0"/>
      <w:marTop w:val="0"/>
      <w:marBottom w:val="0"/>
      <w:divBdr>
        <w:top w:val="none" w:sz="0" w:space="0" w:color="auto"/>
        <w:left w:val="none" w:sz="0" w:space="0" w:color="auto"/>
        <w:bottom w:val="none" w:sz="0" w:space="0" w:color="auto"/>
        <w:right w:val="none" w:sz="0" w:space="0" w:color="auto"/>
      </w:divBdr>
    </w:div>
    <w:div w:id="1902250108">
      <w:marLeft w:val="0"/>
      <w:marRight w:val="0"/>
      <w:marTop w:val="0"/>
      <w:marBottom w:val="0"/>
      <w:divBdr>
        <w:top w:val="none" w:sz="0" w:space="0" w:color="auto"/>
        <w:left w:val="none" w:sz="0" w:space="0" w:color="auto"/>
        <w:bottom w:val="none" w:sz="0" w:space="0" w:color="auto"/>
        <w:right w:val="none" w:sz="0" w:space="0" w:color="auto"/>
      </w:divBdr>
    </w:div>
    <w:div w:id="1999920482">
      <w:bodyDiv w:val="1"/>
      <w:marLeft w:val="0"/>
      <w:marRight w:val="0"/>
      <w:marTop w:val="0"/>
      <w:marBottom w:val="0"/>
      <w:divBdr>
        <w:top w:val="none" w:sz="0" w:space="0" w:color="auto"/>
        <w:left w:val="none" w:sz="0" w:space="0" w:color="auto"/>
        <w:bottom w:val="none" w:sz="0" w:space="0" w:color="auto"/>
        <w:right w:val="none" w:sz="0" w:space="0" w:color="auto"/>
      </w:divBdr>
      <w:divsChild>
        <w:div w:id="92358828">
          <w:marLeft w:val="0"/>
          <w:marRight w:val="0"/>
          <w:marTop w:val="0"/>
          <w:marBottom w:val="0"/>
          <w:divBdr>
            <w:top w:val="none" w:sz="0" w:space="0" w:color="auto"/>
            <w:left w:val="none" w:sz="0" w:space="0" w:color="auto"/>
            <w:bottom w:val="none" w:sz="0" w:space="0" w:color="auto"/>
            <w:right w:val="none" w:sz="0" w:space="0" w:color="auto"/>
          </w:divBdr>
        </w:div>
        <w:div w:id="118574046">
          <w:marLeft w:val="0"/>
          <w:marRight w:val="0"/>
          <w:marTop w:val="0"/>
          <w:marBottom w:val="0"/>
          <w:divBdr>
            <w:top w:val="none" w:sz="0" w:space="0" w:color="auto"/>
            <w:left w:val="none" w:sz="0" w:space="0" w:color="auto"/>
            <w:bottom w:val="none" w:sz="0" w:space="0" w:color="auto"/>
            <w:right w:val="none" w:sz="0" w:space="0" w:color="auto"/>
          </w:divBdr>
        </w:div>
        <w:div w:id="204215482">
          <w:marLeft w:val="0"/>
          <w:marRight w:val="0"/>
          <w:marTop w:val="0"/>
          <w:marBottom w:val="0"/>
          <w:divBdr>
            <w:top w:val="none" w:sz="0" w:space="0" w:color="auto"/>
            <w:left w:val="none" w:sz="0" w:space="0" w:color="auto"/>
            <w:bottom w:val="none" w:sz="0" w:space="0" w:color="auto"/>
            <w:right w:val="none" w:sz="0" w:space="0" w:color="auto"/>
          </w:divBdr>
        </w:div>
        <w:div w:id="221796808">
          <w:marLeft w:val="0"/>
          <w:marRight w:val="0"/>
          <w:marTop w:val="0"/>
          <w:marBottom w:val="0"/>
          <w:divBdr>
            <w:top w:val="none" w:sz="0" w:space="0" w:color="auto"/>
            <w:left w:val="none" w:sz="0" w:space="0" w:color="auto"/>
            <w:bottom w:val="none" w:sz="0" w:space="0" w:color="auto"/>
            <w:right w:val="none" w:sz="0" w:space="0" w:color="auto"/>
          </w:divBdr>
        </w:div>
        <w:div w:id="418018277">
          <w:marLeft w:val="0"/>
          <w:marRight w:val="0"/>
          <w:marTop w:val="0"/>
          <w:marBottom w:val="0"/>
          <w:divBdr>
            <w:top w:val="none" w:sz="0" w:space="0" w:color="auto"/>
            <w:left w:val="none" w:sz="0" w:space="0" w:color="auto"/>
            <w:bottom w:val="none" w:sz="0" w:space="0" w:color="auto"/>
            <w:right w:val="none" w:sz="0" w:space="0" w:color="auto"/>
          </w:divBdr>
        </w:div>
        <w:div w:id="426779940">
          <w:marLeft w:val="0"/>
          <w:marRight w:val="0"/>
          <w:marTop w:val="0"/>
          <w:marBottom w:val="0"/>
          <w:divBdr>
            <w:top w:val="none" w:sz="0" w:space="0" w:color="auto"/>
            <w:left w:val="none" w:sz="0" w:space="0" w:color="auto"/>
            <w:bottom w:val="none" w:sz="0" w:space="0" w:color="auto"/>
            <w:right w:val="none" w:sz="0" w:space="0" w:color="auto"/>
          </w:divBdr>
        </w:div>
        <w:div w:id="654991294">
          <w:marLeft w:val="0"/>
          <w:marRight w:val="0"/>
          <w:marTop w:val="0"/>
          <w:marBottom w:val="0"/>
          <w:divBdr>
            <w:top w:val="none" w:sz="0" w:space="0" w:color="auto"/>
            <w:left w:val="none" w:sz="0" w:space="0" w:color="auto"/>
            <w:bottom w:val="none" w:sz="0" w:space="0" w:color="auto"/>
            <w:right w:val="none" w:sz="0" w:space="0" w:color="auto"/>
          </w:divBdr>
        </w:div>
        <w:div w:id="670596625">
          <w:marLeft w:val="0"/>
          <w:marRight w:val="0"/>
          <w:marTop w:val="0"/>
          <w:marBottom w:val="0"/>
          <w:divBdr>
            <w:top w:val="none" w:sz="0" w:space="0" w:color="auto"/>
            <w:left w:val="none" w:sz="0" w:space="0" w:color="auto"/>
            <w:bottom w:val="none" w:sz="0" w:space="0" w:color="auto"/>
            <w:right w:val="none" w:sz="0" w:space="0" w:color="auto"/>
          </w:divBdr>
        </w:div>
        <w:div w:id="743140787">
          <w:marLeft w:val="0"/>
          <w:marRight w:val="0"/>
          <w:marTop w:val="0"/>
          <w:marBottom w:val="0"/>
          <w:divBdr>
            <w:top w:val="none" w:sz="0" w:space="0" w:color="auto"/>
            <w:left w:val="none" w:sz="0" w:space="0" w:color="auto"/>
            <w:bottom w:val="none" w:sz="0" w:space="0" w:color="auto"/>
            <w:right w:val="none" w:sz="0" w:space="0" w:color="auto"/>
          </w:divBdr>
        </w:div>
        <w:div w:id="836306294">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099565003">
          <w:marLeft w:val="0"/>
          <w:marRight w:val="0"/>
          <w:marTop w:val="0"/>
          <w:marBottom w:val="0"/>
          <w:divBdr>
            <w:top w:val="none" w:sz="0" w:space="0" w:color="auto"/>
            <w:left w:val="none" w:sz="0" w:space="0" w:color="auto"/>
            <w:bottom w:val="none" w:sz="0" w:space="0" w:color="auto"/>
            <w:right w:val="none" w:sz="0" w:space="0" w:color="auto"/>
          </w:divBdr>
        </w:div>
        <w:div w:id="1104693061">
          <w:marLeft w:val="0"/>
          <w:marRight w:val="0"/>
          <w:marTop w:val="0"/>
          <w:marBottom w:val="0"/>
          <w:divBdr>
            <w:top w:val="none" w:sz="0" w:space="0" w:color="auto"/>
            <w:left w:val="none" w:sz="0" w:space="0" w:color="auto"/>
            <w:bottom w:val="none" w:sz="0" w:space="0" w:color="auto"/>
            <w:right w:val="none" w:sz="0" w:space="0" w:color="auto"/>
          </w:divBdr>
        </w:div>
        <w:div w:id="1611015211">
          <w:marLeft w:val="0"/>
          <w:marRight w:val="0"/>
          <w:marTop w:val="0"/>
          <w:marBottom w:val="0"/>
          <w:divBdr>
            <w:top w:val="none" w:sz="0" w:space="0" w:color="auto"/>
            <w:left w:val="none" w:sz="0" w:space="0" w:color="auto"/>
            <w:bottom w:val="none" w:sz="0" w:space="0" w:color="auto"/>
            <w:right w:val="none" w:sz="0" w:space="0" w:color="auto"/>
          </w:divBdr>
        </w:div>
        <w:div w:id="1996109907">
          <w:marLeft w:val="0"/>
          <w:marRight w:val="0"/>
          <w:marTop w:val="0"/>
          <w:marBottom w:val="0"/>
          <w:divBdr>
            <w:top w:val="none" w:sz="0" w:space="0" w:color="auto"/>
            <w:left w:val="none" w:sz="0" w:space="0" w:color="auto"/>
            <w:bottom w:val="none" w:sz="0" w:space="0" w:color="auto"/>
            <w:right w:val="none" w:sz="0" w:space="0" w:color="auto"/>
          </w:divBdr>
        </w:div>
      </w:divsChild>
    </w:div>
    <w:div w:id="2079789188">
      <w:bodyDiv w:val="1"/>
      <w:marLeft w:val="0"/>
      <w:marRight w:val="0"/>
      <w:marTop w:val="0"/>
      <w:marBottom w:val="0"/>
      <w:divBdr>
        <w:top w:val="none" w:sz="0" w:space="0" w:color="auto"/>
        <w:left w:val="none" w:sz="0" w:space="0" w:color="auto"/>
        <w:bottom w:val="none" w:sz="0" w:space="0" w:color="auto"/>
        <w:right w:val="none" w:sz="0" w:space="0" w:color="auto"/>
      </w:divBdr>
      <w:divsChild>
        <w:div w:id="443237003">
          <w:marLeft w:val="0"/>
          <w:marRight w:val="0"/>
          <w:marTop w:val="0"/>
          <w:marBottom w:val="0"/>
          <w:divBdr>
            <w:top w:val="none" w:sz="0" w:space="0" w:color="auto"/>
            <w:left w:val="none" w:sz="0" w:space="0" w:color="auto"/>
            <w:bottom w:val="none" w:sz="0" w:space="0" w:color="auto"/>
            <w:right w:val="none" w:sz="0" w:space="0" w:color="auto"/>
          </w:divBdr>
          <w:divsChild>
            <w:div w:id="697003356">
              <w:marLeft w:val="0"/>
              <w:marRight w:val="0"/>
              <w:marTop w:val="0"/>
              <w:marBottom w:val="0"/>
              <w:divBdr>
                <w:top w:val="none" w:sz="0" w:space="0" w:color="auto"/>
                <w:left w:val="none" w:sz="0" w:space="0" w:color="auto"/>
                <w:bottom w:val="none" w:sz="0" w:space="0" w:color="auto"/>
                <w:right w:val="none" w:sz="0" w:space="0" w:color="auto"/>
              </w:divBdr>
              <w:divsChild>
                <w:div w:id="400907208">
                  <w:marLeft w:val="0"/>
                  <w:marRight w:val="0"/>
                  <w:marTop w:val="0"/>
                  <w:marBottom w:val="0"/>
                  <w:divBdr>
                    <w:top w:val="none" w:sz="0" w:space="0" w:color="auto"/>
                    <w:left w:val="none" w:sz="0" w:space="0" w:color="auto"/>
                    <w:bottom w:val="none" w:sz="0" w:space="0" w:color="auto"/>
                    <w:right w:val="none" w:sz="0" w:space="0" w:color="auto"/>
                  </w:divBdr>
                  <w:divsChild>
                    <w:div w:id="811606583">
                      <w:marLeft w:val="0"/>
                      <w:marRight w:val="0"/>
                      <w:marTop w:val="0"/>
                      <w:marBottom w:val="0"/>
                      <w:divBdr>
                        <w:top w:val="none" w:sz="0" w:space="0" w:color="auto"/>
                        <w:left w:val="none" w:sz="0" w:space="0" w:color="auto"/>
                        <w:bottom w:val="none" w:sz="0" w:space="0" w:color="auto"/>
                        <w:right w:val="none" w:sz="0" w:space="0" w:color="auto"/>
                      </w:divBdr>
                      <w:divsChild>
                        <w:div w:id="2124569995">
                          <w:marLeft w:val="0"/>
                          <w:marRight w:val="0"/>
                          <w:marTop w:val="0"/>
                          <w:marBottom w:val="0"/>
                          <w:divBdr>
                            <w:top w:val="none" w:sz="0" w:space="0" w:color="auto"/>
                            <w:left w:val="none" w:sz="0" w:space="0" w:color="auto"/>
                            <w:bottom w:val="none" w:sz="0" w:space="0" w:color="auto"/>
                            <w:right w:val="none" w:sz="0" w:space="0" w:color="auto"/>
                          </w:divBdr>
                          <w:divsChild>
                            <w:div w:id="482477607">
                              <w:marLeft w:val="0"/>
                              <w:marRight w:val="0"/>
                              <w:marTop w:val="0"/>
                              <w:marBottom w:val="0"/>
                              <w:divBdr>
                                <w:top w:val="none" w:sz="0" w:space="0" w:color="auto"/>
                                <w:left w:val="none" w:sz="0" w:space="0" w:color="auto"/>
                                <w:bottom w:val="none" w:sz="0" w:space="0" w:color="auto"/>
                                <w:right w:val="none" w:sz="0" w:space="0" w:color="auto"/>
                              </w:divBdr>
                              <w:divsChild>
                                <w:div w:id="1442073382">
                                  <w:marLeft w:val="0"/>
                                  <w:marRight w:val="0"/>
                                  <w:marTop w:val="0"/>
                                  <w:marBottom w:val="0"/>
                                  <w:divBdr>
                                    <w:top w:val="none" w:sz="0" w:space="0" w:color="auto"/>
                                    <w:left w:val="none" w:sz="0" w:space="0" w:color="auto"/>
                                    <w:bottom w:val="none" w:sz="0" w:space="0" w:color="auto"/>
                                    <w:right w:val="none" w:sz="0" w:space="0" w:color="auto"/>
                                  </w:divBdr>
                                  <w:divsChild>
                                    <w:div w:id="1333223530">
                                      <w:marLeft w:val="0"/>
                                      <w:marRight w:val="0"/>
                                      <w:marTop w:val="0"/>
                                      <w:marBottom w:val="0"/>
                                      <w:divBdr>
                                        <w:top w:val="none" w:sz="0" w:space="0" w:color="auto"/>
                                        <w:left w:val="none" w:sz="0" w:space="0" w:color="auto"/>
                                        <w:bottom w:val="none" w:sz="0" w:space="0" w:color="auto"/>
                                        <w:right w:val="none" w:sz="0" w:space="0" w:color="auto"/>
                                      </w:divBdr>
                                      <w:divsChild>
                                        <w:div w:id="1498108619">
                                          <w:marLeft w:val="0"/>
                                          <w:marRight w:val="0"/>
                                          <w:marTop w:val="0"/>
                                          <w:marBottom w:val="0"/>
                                          <w:divBdr>
                                            <w:top w:val="none" w:sz="0" w:space="0" w:color="auto"/>
                                            <w:left w:val="none" w:sz="0" w:space="0" w:color="auto"/>
                                            <w:bottom w:val="none" w:sz="0" w:space="0" w:color="auto"/>
                                            <w:right w:val="none" w:sz="0" w:space="0" w:color="auto"/>
                                          </w:divBdr>
                                          <w:divsChild>
                                            <w:div w:id="1980067480">
                                              <w:marLeft w:val="0"/>
                                              <w:marRight w:val="0"/>
                                              <w:marTop w:val="0"/>
                                              <w:marBottom w:val="0"/>
                                              <w:divBdr>
                                                <w:top w:val="none" w:sz="0" w:space="0" w:color="auto"/>
                                                <w:left w:val="none" w:sz="0" w:space="0" w:color="auto"/>
                                                <w:bottom w:val="none" w:sz="0" w:space="0" w:color="auto"/>
                                                <w:right w:val="none" w:sz="0" w:space="0" w:color="auto"/>
                                              </w:divBdr>
                                              <w:divsChild>
                                                <w:div w:id="989941645">
                                                  <w:marLeft w:val="0"/>
                                                  <w:marRight w:val="0"/>
                                                  <w:marTop w:val="0"/>
                                                  <w:marBottom w:val="0"/>
                                                  <w:divBdr>
                                                    <w:top w:val="none" w:sz="0" w:space="0" w:color="auto"/>
                                                    <w:left w:val="none" w:sz="0" w:space="0" w:color="auto"/>
                                                    <w:bottom w:val="none" w:sz="0" w:space="0" w:color="auto"/>
                                                    <w:right w:val="none" w:sz="0" w:space="0" w:color="auto"/>
                                                  </w:divBdr>
                                                  <w:divsChild>
                                                    <w:div w:id="1094473966">
                                                      <w:marLeft w:val="0"/>
                                                      <w:marRight w:val="0"/>
                                                      <w:marTop w:val="0"/>
                                                      <w:marBottom w:val="0"/>
                                                      <w:divBdr>
                                                        <w:top w:val="none" w:sz="0" w:space="0" w:color="auto"/>
                                                        <w:left w:val="none" w:sz="0" w:space="0" w:color="auto"/>
                                                        <w:bottom w:val="none" w:sz="0" w:space="0" w:color="auto"/>
                                                        <w:right w:val="none" w:sz="0" w:space="0" w:color="auto"/>
                                                      </w:divBdr>
                                                      <w:divsChild>
                                                        <w:div w:id="1261722976">
                                                          <w:marLeft w:val="0"/>
                                                          <w:marRight w:val="0"/>
                                                          <w:marTop w:val="0"/>
                                                          <w:marBottom w:val="0"/>
                                                          <w:divBdr>
                                                            <w:top w:val="none" w:sz="0" w:space="0" w:color="auto"/>
                                                            <w:left w:val="none" w:sz="0" w:space="0" w:color="auto"/>
                                                            <w:bottom w:val="none" w:sz="0" w:space="0" w:color="auto"/>
                                                            <w:right w:val="none" w:sz="0" w:space="0" w:color="auto"/>
                                                          </w:divBdr>
                                                          <w:divsChild>
                                                            <w:div w:id="1140461484">
                                                              <w:marLeft w:val="0"/>
                                                              <w:marRight w:val="0"/>
                                                              <w:marTop w:val="0"/>
                                                              <w:marBottom w:val="0"/>
                                                              <w:divBdr>
                                                                <w:top w:val="none" w:sz="0" w:space="0" w:color="auto"/>
                                                                <w:left w:val="none" w:sz="0" w:space="0" w:color="auto"/>
                                                                <w:bottom w:val="none" w:sz="0" w:space="0" w:color="auto"/>
                                                                <w:right w:val="none" w:sz="0" w:space="0" w:color="auto"/>
                                                              </w:divBdr>
                                                              <w:divsChild>
                                                                <w:div w:id="1382286895">
                                                                  <w:marLeft w:val="0"/>
                                                                  <w:marRight w:val="0"/>
                                                                  <w:marTop w:val="0"/>
                                                                  <w:marBottom w:val="0"/>
                                                                  <w:divBdr>
                                                                    <w:top w:val="none" w:sz="0" w:space="0" w:color="auto"/>
                                                                    <w:left w:val="none" w:sz="0" w:space="0" w:color="auto"/>
                                                                    <w:bottom w:val="none" w:sz="0" w:space="0" w:color="auto"/>
                                                                    <w:right w:val="none" w:sz="0" w:space="0" w:color="auto"/>
                                                                  </w:divBdr>
                                                                  <w:divsChild>
                                                                    <w:div w:id="745151751">
                                                                      <w:marLeft w:val="0"/>
                                                                      <w:marRight w:val="0"/>
                                                                      <w:marTop w:val="0"/>
                                                                      <w:marBottom w:val="0"/>
                                                                      <w:divBdr>
                                                                        <w:top w:val="none" w:sz="0" w:space="0" w:color="auto"/>
                                                                        <w:left w:val="none" w:sz="0" w:space="0" w:color="auto"/>
                                                                        <w:bottom w:val="none" w:sz="0" w:space="0" w:color="auto"/>
                                                                        <w:right w:val="none" w:sz="0" w:space="0" w:color="auto"/>
                                                                      </w:divBdr>
                                                                    </w:div>
                                                                    <w:div w:id="929852235">
                                                                      <w:marLeft w:val="0"/>
                                                                      <w:marRight w:val="0"/>
                                                                      <w:marTop w:val="0"/>
                                                                      <w:marBottom w:val="0"/>
                                                                      <w:divBdr>
                                                                        <w:top w:val="none" w:sz="0" w:space="0" w:color="auto"/>
                                                                        <w:left w:val="none" w:sz="0" w:space="0" w:color="auto"/>
                                                                        <w:bottom w:val="none" w:sz="0" w:space="0" w:color="auto"/>
                                                                        <w:right w:val="none" w:sz="0" w:space="0" w:color="auto"/>
                                                                      </w:divBdr>
                                                                      <w:divsChild>
                                                                        <w:div w:id="1194074209">
                                                                          <w:marLeft w:val="0"/>
                                                                          <w:marRight w:val="0"/>
                                                                          <w:marTop w:val="0"/>
                                                                          <w:marBottom w:val="0"/>
                                                                          <w:divBdr>
                                                                            <w:top w:val="none" w:sz="0" w:space="0" w:color="auto"/>
                                                                            <w:left w:val="none" w:sz="0" w:space="0" w:color="auto"/>
                                                                            <w:bottom w:val="none" w:sz="0" w:space="0" w:color="auto"/>
                                                                            <w:right w:val="none" w:sz="0" w:space="0" w:color="auto"/>
                                                                          </w:divBdr>
                                                                        </w:div>
                                                                      </w:divsChild>
                                                                    </w:div>
                                                                    <w:div w:id="1097600109">
                                                                      <w:marLeft w:val="0"/>
                                                                      <w:marRight w:val="0"/>
                                                                      <w:marTop w:val="0"/>
                                                                      <w:marBottom w:val="0"/>
                                                                      <w:divBdr>
                                                                        <w:top w:val="none" w:sz="0" w:space="0" w:color="auto"/>
                                                                        <w:left w:val="none" w:sz="0" w:space="0" w:color="auto"/>
                                                                        <w:bottom w:val="none" w:sz="0" w:space="0" w:color="auto"/>
                                                                        <w:right w:val="none" w:sz="0" w:space="0" w:color="auto"/>
                                                                      </w:divBdr>
                                                                      <w:divsChild>
                                                                        <w:div w:id="19588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3914713">
      <w:bodyDiv w:val="1"/>
      <w:marLeft w:val="0"/>
      <w:marRight w:val="0"/>
      <w:marTop w:val="0"/>
      <w:marBottom w:val="0"/>
      <w:divBdr>
        <w:top w:val="none" w:sz="0" w:space="0" w:color="auto"/>
        <w:left w:val="none" w:sz="0" w:space="0" w:color="auto"/>
        <w:bottom w:val="none" w:sz="0" w:space="0" w:color="auto"/>
        <w:right w:val="none" w:sz="0" w:space="0" w:color="auto"/>
      </w:divBdr>
    </w:div>
    <w:div w:id="2092777181">
      <w:bodyDiv w:val="1"/>
      <w:marLeft w:val="0"/>
      <w:marRight w:val="0"/>
      <w:marTop w:val="0"/>
      <w:marBottom w:val="0"/>
      <w:divBdr>
        <w:top w:val="none" w:sz="0" w:space="0" w:color="auto"/>
        <w:left w:val="none" w:sz="0" w:space="0" w:color="auto"/>
        <w:bottom w:val="none" w:sz="0" w:space="0" w:color="auto"/>
        <w:right w:val="none" w:sz="0" w:space="0" w:color="auto"/>
      </w:divBdr>
    </w:div>
    <w:div w:id="2095397116">
      <w:bodyDiv w:val="1"/>
      <w:marLeft w:val="0"/>
      <w:marRight w:val="0"/>
      <w:marTop w:val="0"/>
      <w:marBottom w:val="0"/>
      <w:divBdr>
        <w:top w:val="none" w:sz="0" w:space="0" w:color="auto"/>
        <w:left w:val="none" w:sz="0" w:space="0" w:color="auto"/>
        <w:bottom w:val="none" w:sz="0" w:space="0" w:color="auto"/>
        <w:right w:val="none" w:sz="0" w:space="0" w:color="auto"/>
      </w:divBdr>
      <w:divsChild>
        <w:div w:id="398092035">
          <w:marLeft w:val="0"/>
          <w:marRight w:val="0"/>
          <w:marTop w:val="0"/>
          <w:marBottom w:val="0"/>
          <w:divBdr>
            <w:top w:val="none" w:sz="0" w:space="0" w:color="auto"/>
            <w:left w:val="none" w:sz="0" w:space="0" w:color="auto"/>
            <w:bottom w:val="none" w:sz="0" w:space="0" w:color="auto"/>
            <w:right w:val="none" w:sz="0" w:space="0" w:color="auto"/>
          </w:divBdr>
          <w:divsChild>
            <w:div w:id="1526793273">
              <w:marLeft w:val="0"/>
              <w:marRight w:val="0"/>
              <w:marTop w:val="0"/>
              <w:marBottom w:val="0"/>
              <w:divBdr>
                <w:top w:val="none" w:sz="0" w:space="0" w:color="auto"/>
                <w:left w:val="none" w:sz="0" w:space="0" w:color="auto"/>
                <w:bottom w:val="none" w:sz="0" w:space="0" w:color="auto"/>
                <w:right w:val="none" w:sz="0" w:space="0" w:color="auto"/>
              </w:divBdr>
              <w:divsChild>
                <w:div w:id="719020445">
                  <w:marLeft w:val="0"/>
                  <w:marRight w:val="0"/>
                  <w:marTop w:val="0"/>
                  <w:marBottom w:val="0"/>
                  <w:divBdr>
                    <w:top w:val="none" w:sz="0" w:space="0" w:color="auto"/>
                    <w:left w:val="none" w:sz="0" w:space="0" w:color="auto"/>
                    <w:bottom w:val="none" w:sz="0" w:space="0" w:color="auto"/>
                    <w:right w:val="none" w:sz="0" w:space="0" w:color="auto"/>
                  </w:divBdr>
                  <w:divsChild>
                    <w:div w:id="1182936772">
                      <w:marLeft w:val="0"/>
                      <w:marRight w:val="0"/>
                      <w:marTop w:val="0"/>
                      <w:marBottom w:val="0"/>
                      <w:divBdr>
                        <w:top w:val="none" w:sz="0" w:space="0" w:color="auto"/>
                        <w:left w:val="none" w:sz="0" w:space="0" w:color="auto"/>
                        <w:bottom w:val="none" w:sz="0" w:space="0" w:color="auto"/>
                        <w:right w:val="none" w:sz="0" w:space="0" w:color="auto"/>
                      </w:divBdr>
                      <w:divsChild>
                        <w:div w:id="2031486778">
                          <w:marLeft w:val="0"/>
                          <w:marRight w:val="0"/>
                          <w:marTop w:val="0"/>
                          <w:marBottom w:val="0"/>
                          <w:divBdr>
                            <w:top w:val="none" w:sz="0" w:space="0" w:color="auto"/>
                            <w:left w:val="none" w:sz="0" w:space="0" w:color="auto"/>
                            <w:bottom w:val="none" w:sz="0" w:space="0" w:color="auto"/>
                            <w:right w:val="none" w:sz="0" w:space="0" w:color="auto"/>
                          </w:divBdr>
                          <w:divsChild>
                            <w:div w:id="1150050000">
                              <w:marLeft w:val="0"/>
                              <w:marRight w:val="0"/>
                              <w:marTop w:val="0"/>
                              <w:marBottom w:val="0"/>
                              <w:divBdr>
                                <w:top w:val="none" w:sz="0" w:space="0" w:color="auto"/>
                                <w:left w:val="none" w:sz="0" w:space="0" w:color="auto"/>
                                <w:bottom w:val="none" w:sz="0" w:space="0" w:color="auto"/>
                                <w:right w:val="none" w:sz="0" w:space="0" w:color="auto"/>
                              </w:divBdr>
                              <w:divsChild>
                                <w:div w:id="1039361563">
                                  <w:marLeft w:val="0"/>
                                  <w:marRight w:val="0"/>
                                  <w:marTop w:val="0"/>
                                  <w:marBottom w:val="0"/>
                                  <w:divBdr>
                                    <w:top w:val="none" w:sz="0" w:space="0" w:color="auto"/>
                                    <w:left w:val="none" w:sz="0" w:space="0" w:color="auto"/>
                                    <w:bottom w:val="none" w:sz="0" w:space="0" w:color="auto"/>
                                    <w:right w:val="none" w:sz="0" w:space="0" w:color="auto"/>
                                  </w:divBdr>
                                  <w:divsChild>
                                    <w:div w:id="1916429898">
                                      <w:marLeft w:val="0"/>
                                      <w:marRight w:val="0"/>
                                      <w:marTop w:val="0"/>
                                      <w:marBottom w:val="0"/>
                                      <w:divBdr>
                                        <w:top w:val="none" w:sz="0" w:space="0" w:color="auto"/>
                                        <w:left w:val="none" w:sz="0" w:space="0" w:color="auto"/>
                                        <w:bottom w:val="none" w:sz="0" w:space="0" w:color="auto"/>
                                        <w:right w:val="none" w:sz="0" w:space="0" w:color="auto"/>
                                      </w:divBdr>
                                      <w:divsChild>
                                        <w:div w:id="397441129">
                                          <w:marLeft w:val="0"/>
                                          <w:marRight w:val="0"/>
                                          <w:marTop w:val="0"/>
                                          <w:marBottom w:val="0"/>
                                          <w:divBdr>
                                            <w:top w:val="none" w:sz="0" w:space="0" w:color="auto"/>
                                            <w:left w:val="none" w:sz="0" w:space="0" w:color="auto"/>
                                            <w:bottom w:val="none" w:sz="0" w:space="0" w:color="auto"/>
                                            <w:right w:val="none" w:sz="0" w:space="0" w:color="auto"/>
                                          </w:divBdr>
                                          <w:divsChild>
                                            <w:div w:id="1007638885">
                                              <w:marLeft w:val="0"/>
                                              <w:marRight w:val="0"/>
                                              <w:marTop w:val="0"/>
                                              <w:marBottom w:val="0"/>
                                              <w:divBdr>
                                                <w:top w:val="none" w:sz="0" w:space="0" w:color="auto"/>
                                                <w:left w:val="none" w:sz="0" w:space="0" w:color="auto"/>
                                                <w:bottom w:val="none" w:sz="0" w:space="0" w:color="auto"/>
                                                <w:right w:val="none" w:sz="0" w:space="0" w:color="auto"/>
                                              </w:divBdr>
                                              <w:divsChild>
                                                <w:div w:id="114101557">
                                                  <w:marLeft w:val="0"/>
                                                  <w:marRight w:val="0"/>
                                                  <w:marTop w:val="0"/>
                                                  <w:marBottom w:val="0"/>
                                                  <w:divBdr>
                                                    <w:top w:val="none" w:sz="0" w:space="0" w:color="auto"/>
                                                    <w:left w:val="none" w:sz="0" w:space="0" w:color="auto"/>
                                                    <w:bottom w:val="none" w:sz="0" w:space="0" w:color="auto"/>
                                                    <w:right w:val="none" w:sz="0" w:space="0" w:color="auto"/>
                                                  </w:divBdr>
                                                  <w:divsChild>
                                                    <w:div w:id="1741517572">
                                                      <w:marLeft w:val="0"/>
                                                      <w:marRight w:val="0"/>
                                                      <w:marTop w:val="0"/>
                                                      <w:marBottom w:val="0"/>
                                                      <w:divBdr>
                                                        <w:top w:val="none" w:sz="0" w:space="0" w:color="auto"/>
                                                        <w:left w:val="none" w:sz="0" w:space="0" w:color="auto"/>
                                                        <w:bottom w:val="none" w:sz="0" w:space="0" w:color="auto"/>
                                                        <w:right w:val="none" w:sz="0" w:space="0" w:color="auto"/>
                                                      </w:divBdr>
                                                      <w:divsChild>
                                                        <w:div w:id="1849245606">
                                                          <w:marLeft w:val="0"/>
                                                          <w:marRight w:val="0"/>
                                                          <w:marTop w:val="0"/>
                                                          <w:marBottom w:val="0"/>
                                                          <w:divBdr>
                                                            <w:top w:val="none" w:sz="0" w:space="0" w:color="auto"/>
                                                            <w:left w:val="none" w:sz="0" w:space="0" w:color="auto"/>
                                                            <w:bottom w:val="none" w:sz="0" w:space="0" w:color="auto"/>
                                                            <w:right w:val="none" w:sz="0" w:space="0" w:color="auto"/>
                                                          </w:divBdr>
                                                          <w:divsChild>
                                                            <w:div w:id="1962223181">
                                                              <w:marLeft w:val="0"/>
                                                              <w:marRight w:val="0"/>
                                                              <w:marTop w:val="0"/>
                                                              <w:marBottom w:val="0"/>
                                                              <w:divBdr>
                                                                <w:top w:val="none" w:sz="0" w:space="0" w:color="auto"/>
                                                                <w:left w:val="none" w:sz="0" w:space="0" w:color="auto"/>
                                                                <w:bottom w:val="none" w:sz="0" w:space="0" w:color="auto"/>
                                                                <w:right w:val="none" w:sz="0" w:space="0" w:color="auto"/>
                                                              </w:divBdr>
                                                              <w:divsChild>
                                                                <w:div w:id="1228540228">
                                                                  <w:marLeft w:val="0"/>
                                                                  <w:marRight w:val="0"/>
                                                                  <w:marTop w:val="0"/>
                                                                  <w:marBottom w:val="0"/>
                                                                  <w:divBdr>
                                                                    <w:top w:val="none" w:sz="0" w:space="0" w:color="auto"/>
                                                                    <w:left w:val="none" w:sz="0" w:space="0" w:color="auto"/>
                                                                    <w:bottom w:val="none" w:sz="0" w:space="0" w:color="auto"/>
                                                                    <w:right w:val="none" w:sz="0" w:space="0" w:color="auto"/>
                                                                  </w:divBdr>
                                                                  <w:divsChild>
                                                                    <w:div w:id="242420207">
                                                                      <w:marLeft w:val="0"/>
                                                                      <w:marRight w:val="0"/>
                                                                      <w:marTop w:val="0"/>
                                                                      <w:marBottom w:val="0"/>
                                                                      <w:divBdr>
                                                                        <w:top w:val="none" w:sz="0" w:space="0" w:color="auto"/>
                                                                        <w:left w:val="none" w:sz="0" w:space="0" w:color="auto"/>
                                                                        <w:bottom w:val="none" w:sz="0" w:space="0" w:color="auto"/>
                                                                        <w:right w:val="none" w:sz="0" w:space="0" w:color="auto"/>
                                                                      </w:divBdr>
                                                                    </w:div>
                                                                    <w:div w:id="1925262166">
                                                                      <w:marLeft w:val="0"/>
                                                                      <w:marRight w:val="0"/>
                                                                      <w:marTop w:val="0"/>
                                                                      <w:marBottom w:val="0"/>
                                                                      <w:divBdr>
                                                                        <w:top w:val="none" w:sz="0" w:space="0" w:color="auto"/>
                                                                        <w:left w:val="none" w:sz="0" w:space="0" w:color="auto"/>
                                                                        <w:bottom w:val="none" w:sz="0" w:space="0" w:color="auto"/>
                                                                        <w:right w:val="none" w:sz="0" w:space="0" w:color="auto"/>
                                                                      </w:divBdr>
                                                                      <w:divsChild>
                                                                        <w:div w:id="547953165">
                                                                          <w:marLeft w:val="0"/>
                                                                          <w:marRight w:val="0"/>
                                                                          <w:marTop w:val="0"/>
                                                                          <w:marBottom w:val="0"/>
                                                                          <w:divBdr>
                                                                            <w:top w:val="none" w:sz="0" w:space="0" w:color="auto"/>
                                                                            <w:left w:val="none" w:sz="0" w:space="0" w:color="auto"/>
                                                                            <w:bottom w:val="none" w:sz="0" w:space="0" w:color="auto"/>
                                                                            <w:right w:val="none" w:sz="0" w:space="0" w:color="auto"/>
                                                                          </w:divBdr>
                                                                        </w:div>
                                                                      </w:divsChild>
                                                                    </w:div>
                                                                    <w:div w:id="1960985179">
                                                                      <w:marLeft w:val="0"/>
                                                                      <w:marRight w:val="0"/>
                                                                      <w:marTop w:val="0"/>
                                                                      <w:marBottom w:val="0"/>
                                                                      <w:divBdr>
                                                                        <w:top w:val="none" w:sz="0" w:space="0" w:color="auto"/>
                                                                        <w:left w:val="none" w:sz="0" w:space="0" w:color="auto"/>
                                                                        <w:bottom w:val="none" w:sz="0" w:space="0" w:color="auto"/>
                                                                        <w:right w:val="none" w:sz="0" w:space="0" w:color="auto"/>
                                                                      </w:divBdr>
                                                                      <w:divsChild>
                                                                        <w:div w:id="10571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668789">
      <w:bodyDiv w:val="1"/>
      <w:marLeft w:val="0"/>
      <w:marRight w:val="0"/>
      <w:marTop w:val="0"/>
      <w:marBottom w:val="0"/>
      <w:divBdr>
        <w:top w:val="none" w:sz="0" w:space="0" w:color="auto"/>
        <w:left w:val="none" w:sz="0" w:space="0" w:color="auto"/>
        <w:bottom w:val="none" w:sz="0" w:space="0" w:color="auto"/>
        <w:right w:val="none" w:sz="0" w:space="0" w:color="auto"/>
      </w:divBdr>
    </w:div>
    <w:div w:id="21026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drive.google.com/open?id=0B6qUEbsZcZ-IQVo2MjBCbVlXWlE"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awea.org/1Q2014" TargetMode="External"/><Relationship Id="rId7" Type="http://schemas.openxmlformats.org/officeDocument/2006/relationships/footnotes" Target="footnotes.xml"/><Relationship Id="rId12" Type="http://schemas.openxmlformats.org/officeDocument/2006/relationships/hyperlink" Target="mailto:bhat@mail.utexas.edu" TargetMode="External"/><Relationship Id="rId17" Type="http://schemas.openxmlformats.org/officeDocument/2006/relationships/hyperlink" Target="https://drive.google.com/open?id=0B6qUEbsZcZ-IQVo2MjBCbVlXWlE"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rel.gov/gis/data_wind.html" TargetMode="External"/><Relationship Id="rId20" Type="http://schemas.openxmlformats.org/officeDocument/2006/relationships/hyperlink" Target="https://drive.google.com/open?id=0B6qUEbsZcZ-IMk9KRkMzWTN0V2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erine.smith@utexas.edu" TargetMode="External"/><Relationship Id="rId24" Type="http://schemas.openxmlformats.org/officeDocument/2006/relationships/hyperlink" Target="http://www.lrrb.org/media/reports/2012RIC11TS.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d2dtl5nnlpfr0r.cloudfront.net/tti.tamu.edu/documents/0-6404-1.pdf" TargetMode="External"/><Relationship Id="rId28" Type="http://schemas.openxmlformats.org/officeDocument/2006/relationships/image" Target="media/image2.jpg"/><Relationship Id="rId10" Type="http://schemas.openxmlformats.org/officeDocument/2006/relationships/hyperlink" Target="mailto:priyadarshan@utexas.edu" TargetMode="External"/><Relationship Id="rId19" Type="http://schemas.openxmlformats.org/officeDocument/2006/relationships/hyperlink" Target="http://arcg.is/1OYv8c0"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sastroza@utexas.edu" TargetMode="External"/><Relationship Id="rId14" Type="http://schemas.openxmlformats.org/officeDocument/2006/relationships/footer" Target="footer1.xml"/><Relationship Id="rId22" Type="http://schemas.openxmlformats.org/officeDocument/2006/relationships/hyperlink" Target="http://www.seco.cpa.state.tx.us/publications/renewenergy/" TargetMode="External"/><Relationship Id="rId27" Type="http://schemas.openxmlformats.org/officeDocument/2006/relationships/image" Target="media/image1.jpg"/><Relationship Id="rId30"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arcg.is/1OnpehS" TargetMode="External"/><Relationship Id="rId2" Type="http://schemas.openxmlformats.org/officeDocument/2006/relationships/hyperlink" Target="http://arcg.is/1jUvRzW" TargetMode="External"/><Relationship Id="rId1" Type="http://schemas.openxmlformats.org/officeDocument/2006/relationships/hyperlink" Target="http://services.arcgis.com/KTcxiTD9dsQw4r7Z/arcgis/rest/services/Freight_Network/FeatureServer/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9E323-A563-472E-86FC-A914ACB0EBC7}">
  <ds:schemaRefs>
    <ds:schemaRef ds:uri="http://schemas.openxmlformats.org/officeDocument/2006/bibliography"/>
  </ds:schemaRefs>
</ds:datastoreItem>
</file>

<file path=customXml/itemProps2.xml><?xml version="1.0" encoding="utf-8"?>
<ds:datastoreItem xmlns:ds="http://schemas.openxmlformats.org/officeDocument/2006/customXml" ds:itemID="{50C5EE98-1E42-4834-8E90-FD644081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6914</Words>
  <Characters>38596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45420</CharactersWithSpaces>
  <SharedDoc>false</SharedDoc>
  <HLinks>
    <vt:vector size="54" baseType="variant">
      <vt:variant>
        <vt:i4>3211333</vt:i4>
      </vt:variant>
      <vt:variant>
        <vt:i4>57</vt:i4>
      </vt:variant>
      <vt:variant>
        <vt:i4>0</vt:i4>
      </vt:variant>
      <vt:variant>
        <vt:i4>5</vt:i4>
      </vt:variant>
      <vt:variant>
        <vt:lpwstr>http://www1.eere.energy.gov/wind/pdfs/2012_distributed_wind_technologies_market_report.pdf</vt:lpwstr>
      </vt:variant>
      <vt:variant>
        <vt:lpwstr/>
      </vt:variant>
      <vt:variant>
        <vt:i4>5963859</vt:i4>
      </vt:variant>
      <vt:variant>
        <vt:i4>54</vt:i4>
      </vt:variant>
      <vt:variant>
        <vt:i4>0</vt:i4>
      </vt:variant>
      <vt:variant>
        <vt:i4>5</vt:i4>
      </vt:variant>
      <vt:variant>
        <vt:lpwstr>http://www.seco.cpa.state.tx.us/publications/renewenergy/</vt:lpwstr>
      </vt:variant>
      <vt:variant>
        <vt:lpwstr/>
      </vt:variant>
      <vt:variant>
        <vt:i4>6750290</vt:i4>
      </vt:variant>
      <vt:variant>
        <vt:i4>51</vt:i4>
      </vt:variant>
      <vt:variant>
        <vt:i4>0</vt:i4>
      </vt:variant>
      <vt:variant>
        <vt:i4>5</vt:i4>
      </vt:variant>
      <vt:variant>
        <vt:lpwstr>http://www.irena.org/DocumentDownloads/Publications/IRENA-ETSAP_Tech_Brief_Wind_Power_E07.pdf</vt:lpwstr>
      </vt:variant>
      <vt:variant>
        <vt:lpwstr/>
      </vt:variant>
      <vt:variant>
        <vt:i4>2687100</vt:i4>
      </vt:variant>
      <vt:variant>
        <vt:i4>48</vt:i4>
      </vt:variant>
      <vt:variant>
        <vt:i4>0</vt:i4>
      </vt:variant>
      <vt:variant>
        <vt:i4>5</vt:i4>
      </vt:variant>
      <vt:variant>
        <vt:lpwstr>http://www.awea.org/1Q2014</vt:lpwstr>
      </vt:variant>
      <vt:variant>
        <vt:lpwstr/>
      </vt:variant>
      <vt:variant>
        <vt:i4>2555916</vt:i4>
      </vt:variant>
      <vt:variant>
        <vt:i4>12</vt:i4>
      </vt:variant>
      <vt:variant>
        <vt:i4>0</vt:i4>
      </vt:variant>
      <vt:variant>
        <vt:i4>5</vt:i4>
      </vt:variant>
      <vt:variant>
        <vt:lpwstr>http://www.nrel.gov/gis/data_wind.html</vt:lpwstr>
      </vt:variant>
      <vt:variant>
        <vt:lpwstr/>
      </vt:variant>
      <vt:variant>
        <vt:i4>6094898</vt:i4>
      </vt:variant>
      <vt:variant>
        <vt:i4>9</vt:i4>
      </vt:variant>
      <vt:variant>
        <vt:i4>0</vt:i4>
      </vt:variant>
      <vt:variant>
        <vt:i4>5</vt:i4>
      </vt:variant>
      <vt:variant>
        <vt:lpwstr>mailto:katherine.smith@utexas.edu</vt:lpwstr>
      </vt:variant>
      <vt:variant>
        <vt:lpwstr/>
      </vt:variant>
      <vt:variant>
        <vt:i4>4587626</vt:i4>
      </vt:variant>
      <vt:variant>
        <vt:i4>6</vt:i4>
      </vt:variant>
      <vt:variant>
        <vt:i4>0</vt:i4>
      </vt:variant>
      <vt:variant>
        <vt:i4>5</vt:i4>
      </vt:variant>
      <vt:variant>
        <vt:lpwstr>mailto:priyadarshan@utexas.edu</vt:lpwstr>
      </vt:variant>
      <vt:variant>
        <vt:lpwstr/>
      </vt:variant>
      <vt:variant>
        <vt:i4>4522090</vt:i4>
      </vt:variant>
      <vt:variant>
        <vt:i4>3</vt:i4>
      </vt:variant>
      <vt:variant>
        <vt:i4>0</vt:i4>
      </vt:variant>
      <vt:variant>
        <vt:i4>5</vt:i4>
      </vt:variant>
      <vt:variant>
        <vt:lpwstr>mailto:sastroza@utexas.edu</vt:lpwstr>
      </vt:variant>
      <vt:variant>
        <vt:lpwstr/>
      </vt:variant>
      <vt:variant>
        <vt:i4>1507430</vt:i4>
      </vt:variant>
      <vt:variant>
        <vt:i4>0</vt:i4>
      </vt:variant>
      <vt:variant>
        <vt:i4>0</vt:i4>
      </vt:variant>
      <vt:variant>
        <vt:i4>5</vt:i4>
      </vt:variant>
      <vt:variant>
        <vt:lpwstr>mailto:bhat@mail.utexas.edu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Bhat, Chandra R</dc:creator>
  <cp:lastModifiedBy>Macias, Lisa J</cp:lastModifiedBy>
  <cp:revision>2</cp:revision>
  <cp:lastPrinted>2016-11-07T04:05:00Z</cp:lastPrinted>
  <dcterms:created xsi:type="dcterms:W3CDTF">2017-03-15T22:09:00Z</dcterms:created>
  <dcterms:modified xsi:type="dcterms:W3CDTF">2017-03-15T22:09:00Z</dcterms:modified>
</cp:coreProperties>
</file>